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8D06" w14:textId="6CA913D9" w:rsidR="00757105" w:rsidRPr="00187A8A" w:rsidRDefault="00757105" w:rsidP="00E65F22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ANEKS NR 1</w:t>
      </w:r>
    </w:p>
    <w:p w14:paraId="2D6B68BD" w14:textId="21461258" w:rsidR="00757105" w:rsidRPr="00187A8A" w:rsidRDefault="00757105" w:rsidP="00E65F22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DO KONTRAKTU PROGRAMOWEGO DLA WOJEWÓDZTWA </w:t>
      </w:r>
      <w:r w:rsidR="00187A8A">
        <w:rPr>
          <w:rFonts w:ascii="Century Gothic" w:hAnsi="Century Gothic"/>
          <w:b/>
          <w:bCs/>
          <w:sz w:val="20"/>
          <w:szCs w:val="20"/>
        </w:rPr>
        <w:t>ŁÓDZKIEGO</w:t>
      </w:r>
    </w:p>
    <w:p w14:paraId="32968F40" w14:textId="55025840" w:rsidR="00757105" w:rsidRPr="00187A8A" w:rsidRDefault="00757105" w:rsidP="00F1779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4D16C12F" w14:textId="1D03E8FA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………………………… 2023 r. w </w:t>
      </w:r>
      <w:r w:rsidR="00D04F48" w:rsidRPr="00187A8A">
        <w:rPr>
          <w:rFonts w:ascii="Century Gothic" w:hAnsi="Century Gothic"/>
          <w:sz w:val="20"/>
          <w:szCs w:val="20"/>
        </w:rPr>
        <w:t>…………………………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35C4D4E4" w14:textId="13F4550B" w:rsidR="00ED4296" w:rsidRPr="00187A8A" w:rsidRDefault="00B03F59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Grzegorzem </w:t>
      </w:r>
      <w:proofErr w:type="spellStart"/>
      <w:r>
        <w:rPr>
          <w:rFonts w:ascii="Century Gothic" w:hAnsi="Century Gothic"/>
          <w:sz w:val="20"/>
          <w:szCs w:val="20"/>
        </w:rPr>
        <w:t>Pudą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r w:rsidR="00ED4296" w:rsidRPr="00187A8A">
        <w:rPr>
          <w:rFonts w:ascii="Century Gothic" w:hAnsi="Century Gothic"/>
          <w:sz w:val="20"/>
          <w:szCs w:val="20"/>
        </w:rPr>
        <w:t>Ministrem Funduszy i Polityki Regionalnej, zwanym dalej „Ministrem”,</w:t>
      </w:r>
    </w:p>
    <w:p w14:paraId="5B27F9AE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7B7B777D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B03F59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187A8A">
        <w:rPr>
          <w:rFonts w:ascii="Century Gothic" w:hAnsi="Century Gothic"/>
          <w:sz w:val="20"/>
          <w:szCs w:val="20"/>
        </w:rPr>
        <w:t>Łódzkiego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6AEC837C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………………………………………………………………., Marszałka/Wicemarszałka/Członka Zarządu Województwa </w:t>
      </w:r>
      <w:r w:rsidR="00187A8A" w:rsidRPr="00187A8A">
        <w:rPr>
          <w:rFonts w:ascii="Century Gothic" w:hAnsi="Century Gothic"/>
          <w:sz w:val="20"/>
          <w:szCs w:val="20"/>
        </w:rPr>
        <w:t>Łódzkiego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2071D96C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………………………………………………………………., Wicemarszałka/Członka Zarządu Województwa </w:t>
      </w:r>
      <w:r w:rsidR="00187A8A" w:rsidRPr="00187A8A">
        <w:rPr>
          <w:rFonts w:ascii="Century Gothic" w:hAnsi="Century Gothic"/>
          <w:sz w:val="20"/>
          <w:szCs w:val="20"/>
        </w:rPr>
        <w:t>Łódzkiego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2B511E77" w14:textId="4811F44D" w:rsidR="002E41F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upoważnienia/pełnomocnictwa</w:t>
      </w:r>
      <w:r w:rsidR="002E41FA"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</w:p>
    <w:p w14:paraId="6770DDAE" w14:textId="6AA9E538" w:rsidR="002E41FA" w:rsidRDefault="002E41FA" w:rsidP="002E41FA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1F4A19" w14:textId="482C52CA" w:rsidR="00ED4296" w:rsidRPr="00187A8A" w:rsidRDefault="002E41FA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366A9200" w14:textId="2C958EF7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B03F59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4624A25F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77777777" w:rsidR="00ED4296" w:rsidRPr="00187A8A" w:rsidRDefault="00ED4296" w:rsidP="00ED4296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1</w:t>
      </w:r>
    </w:p>
    <w:p w14:paraId="6E9E80A9" w14:textId="703777E2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3 i 4 w związku z ust. 6 ustawy z dnia 6 grudnia 2006 r. </w:t>
      </w:r>
      <w:r w:rsidR="006678F4"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o zasadach prowadzenia polityki rozwoju (Dz. U. z 2023 r. poz. 225 i 412), Strony postanawiają, co następuje:</w:t>
      </w:r>
    </w:p>
    <w:p w14:paraId="51BABB05" w14:textId="4A172FCD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</w:t>
      </w:r>
      <w:bookmarkStart w:id="0" w:name="_Hlk131155614"/>
      <w:r w:rsidRPr="00187A8A">
        <w:rPr>
          <w:rFonts w:ascii="Century Gothic" w:hAnsi="Century Gothic"/>
          <w:sz w:val="20"/>
          <w:szCs w:val="20"/>
        </w:rPr>
        <w:t xml:space="preserve">Kontrakcie Programowym dla Województwa </w:t>
      </w:r>
      <w:bookmarkEnd w:id="0"/>
      <w:r w:rsidR="00187A8A" w:rsidRPr="00187A8A">
        <w:rPr>
          <w:rFonts w:ascii="Century Gothic" w:hAnsi="Century Gothic"/>
          <w:sz w:val="20"/>
          <w:szCs w:val="20"/>
        </w:rPr>
        <w:t>Łódzkiego</w:t>
      </w:r>
      <w:r w:rsidRPr="00187A8A">
        <w:rPr>
          <w:rFonts w:ascii="Century Gothic" w:hAnsi="Century Gothic"/>
          <w:sz w:val="20"/>
          <w:szCs w:val="20"/>
        </w:rPr>
        <w:t xml:space="preserve">, zawartym w dniu </w:t>
      </w:r>
      <w:r w:rsidR="00187A8A">
        <w:rPr>
          <w:rFonts w:ascii="Century Gothic" w:hAnsi="Century Gothic"/>
          <w:sz w:val="20"/>
          <w:szCs w:val="20"/>
        </w:rPr>
        <w:t>28 stycznia</w:t>
      </w:r>
      <w:r w:rsidRPr="00187A8A">
        <w:rPr>
          <w:rFonts w:ascii="Century Gothic" w:hAnsi="Century Gothic"/>
          <w:sz w:val="20"/>
          <w:szCs w:val="20"/>
        </w:rPr>
        <w:t xml:space="preserve"> 2022 r., wprowadza się następujące zmiany:</w:t>
      </w:r>
    </w:p>
    <w:p w14:paraId="7691B6EB" w14:textId="45FF347D" w:rsidR="006C00AB" w:rsidRDefault="00C87047" w:rsidP="00C8704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w preambule, w wykazie właściwych przepisów wspólnotowych dotyczących polityki spójności na lata 2021-2027 i krajowych:</w:t>
      </w:r>
    </w:p>
    <w:p w14:paraId="6A8D8396" w14:textId="78380E9A" w:rsidR="00C87047" w:rsidRDefault="00C87047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po pkt 3 dodaje się pkt </w:t>
      </w:r>
      <w:r w:rsidR="002E363A">
        <w:rPr>
          <w:rFonts w:ascii="Century Gothic" w:hAnsi="Century Gothic"/>
          <w:sz w:val="20"/>
          <w:szCs w:val="20"/>
        </w:rPr>
        <w:t>3a</w:t>
      </w:r>
      <w:r>
        <w:rPr>
          <w:rFonts w:ascii="Century Gothic" w:hAnsi="Century Gothic"/>
          <w:sz w:val="20"/>
          <w:szCs w:val="20"/>
        </w:rPr>
        <w:t xml:space="preserve"> w brzmieniu:</w:t>
      </w:r>
    </w:p>
    <w:p w14:paraId="6E4ABD20" w14:textId="1DD54D6F" w:rsidR="00C87047" w:rsidRDefault="00C87047" w:rsidP="002E363A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„</w:t>
      </w:r>
      <w:r w:rsidR="002E363A">
        <w:rPr>
          <w:rFonts w:ascii="Century Gothic" w:hAnsi="Century Gothic"/>
          <w:sz w:val="20"/>
          <w:szCs w:val="20"/>
        </w:rPr>
        <w:t>3a</w:t>
      </w:r>
      <w:r>
        <w:rPr>
          <w:rFonts w:ascii="Century Gothic" w:hAnsi="Century Gothic"/>
          <w:sz w:val="20"/>
          <w:szCs w:val="20"/>
        </w:rPr>
        <w:t>. Rozporządzenia Parlamentu Europejskiego i Rady (UE) 2021/1056 z dnia 24 czerwca 2021 r. ustanawiającego Fundusz na rzecz Sprawiedliwej Transformacji (Dz. Urz. UE L 231, 30.06.2021, s. 1-20)”,</w:t>
      </w:r>
    </w:p>
    <w:p w14:paraId="770EB6FD" w14:textId="34B6AEF0" w:rsidR="00C87047" w:rsidRDefault="002E363A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C87047">
        <w:rPr>
          <w:rFonts w:ascii="Century Gothic" w:hAnsi="Century Gothic"/>
          <w:sz w:val="20"/>
          <w:szCs w:val="20"/>
        </w:rPr>
        <w:t xml:space="preserve">) po pkt </w:t>
      </w:r>
      <w:r>
        <w:rPr>
          <w:rFonts w:ascii="Century Gothic" w:hAnsi="Century Gothic"/>
          <w:sz w:val="20"/>
          <w:szCs w:val="20"/>
        </w:rPr>
        <w:t>4</w:t>
      </w:r>
      <w:r w:rsidR="00C87047">
        <w:rPr>
          <w:rFonts w:ascii="Century Gothic" w:hAnsi="Century Gothic"/>
          <w:sz w:val="20"/>
          <w:szCs w:val="20"/>
        </w:rPr>
        <w:t xml:space="preserve"> dodaje się pkt </w:t>
      </w:r>
      <w:r>
        <w:rPr>
          <w:rFonts w:ascii="Century Gothic" w:hAnsi="Century Gothic"/>
          <w:sz w:val="20"/>
          <w:szCs w:val="20"/>
        </w:rPr>
        <w:t>4a</w:t>
      </w:r>
      <w:r w:rsidR="00C87047">
        <w:rPr>
          <w:rFonts w:ascii="Century Gothic" w:hAnsi="Century Gothic"/>
          <w:sz w:val="20"/>
          <w:szCs w:val="20"/>
        </w:rPr>
        <w:t xml:space="preserve"> w brzmieniu:</w:t>
      </w:r>
    </w:p>
    <w:p w14:paraId="5C19761F" w14:textId="0FA61DF5" w:rsidR="00C87047" w:rsidRPr="00C87047" w:rsidRDefault="00C87047" w:rsidP="002E363A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="002E363A">
        <w:rPr>
          <w:rFonts w:ascii="Century Gothic" w:hAnsi="Century Gothic"/>
          <w:sz w:val="20"/>
          <w:szCs w:val="20"/>
        </w:rPr>
        <w:t>4a</w:t>
      </w:r>
      <w:r>
        <w:rPr>
          <w:rFonts w:ascii="Century Gothic" w:hAnsi="Century Gothic"/>
          <w:sz w:val="20"/>
          <w:szCs w:val="20"/>
        </w:rPr>
        <w:t>. Ustawy z dnia 28 kwietnia 2022 r. o zasadach realizacji zadań finansowanych ze środków europejskich w perspektywie finansowej 2021-2027 (Dz. U. z 2022 r. poz. 1079),</w:t>
      </w:r>
      <w:r w:rsidR="00337BEE">
        <w:rPr>
          <w:rFonts w:ascii="Century Gothic" w:hAnsi="Century Gothic"/>
          <w:sz w:val="20"/>
          <w:szCs w:val="20"/>
        </w:rPr>
        <w:t xml:space="preserve"> zwanej dalej „ustawą wdrożeniową,</w:t>
      </w:r>
      <w:r>
        <w:rPr>
          <w:rFonts w:ascii="Century Gothic" w:hAnsi="Century Gothic"/>
          <w:sz w:val="20"/>
          <w:szCs w:val="20"/>
        </w:rPr>
        <w:t>”</w:t>
      </w:r>
      <w:r w:rsidR="002E363A">
        <w:rPr>
          <w:rFonts w:ascii="Century Gothic" w:hAnsi="Century Gothic"/>
          <w:sz w:val="20"/>
          <w:szCs w:val="20"/>
        </w:rPr>
        <w:t>;</w:t>
      </w:r>
    </w:p>
    <w:p w14:paraId="19954A2E" w14:textId="23E84DD3" w:rsidR="003E3274" w:rsidRDefault="00C87047" w:rsidP="00C8704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</w:t>
      </w:r>
      <w:r w:rsidR="00187A8A" w:rsidRPr="00C87047">
        <w:rPr>
          <w:rFonts w:ascii="Century Gothic" w:hAnsi="Century Gothic"/>
          <w:sz w:val="20"/>
          <w:szCs w:val="20"/>
        </w:rPr>
        <w:t>w art. 3</w:t>
      </w:r>
      <w:r w:rsidR="003E3274">
        <w:rPr>
          <w:rFonts w:ascii="Century Gothic" w:hAnsi="Century Gothic"/>
          <w:sz w:val="20"/>
          <w:szCs w:val="20"/>
        </w:rPr>
        <w:t>:</w:t>
      </w:r>
    </w:p>
    <w:p w14:paraId="10F6EF51" w14:textId="1AAEA8FC" w:rsidR="00187A8A" w:rsidRPr="00C87047" w:rsidRDefault="003E3274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187A8A" w:rsidRPr="00C87047">
        <w:rPr>
          <w:rFonts w:ascii="Century Gothic" w:hAnsi="Century Gothic"/>
          <w:sz w:val="20"/>
          <w:szCs w:val="20"/>
        </w:rPr>
        <w:t>pkt 1 otrzymuje brzmienie:</w:t>
      </w:r>
    </w:p>
    <w:p w14:paraId="5C0FFC04" w14:textId="6C9D6CBB" w:rsidR="00187A8A" w:rsidRPr="00187A8A" w:rsidRDefault="00187A8A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187A8A">
        <w:rPr>
          <w:rFonts w:ascii="Century Gothic" w:hAnsi="Century Gothic"/>
          <w:sz w:val="20"/>
          <w:szCs w:val="20"/>
        </w:rPr>
        <w:t>środki Europejskiego Funduszu Rozwoju Regionalnego, zwanego dalej „EFRR”, Europejskiego Funduszu Społecznego Plus, zwanego dalej „EFS+”, oraz Funduszu na rzecz Sprawiedliwej Transformacji, zwanego dalej „FST”, przeznaczone na realizację Programu Regionalnego</w:t>
      </w:r>
      <w:r>
        <w:rPr>
          <w:rFonts w:ascii="Century Gothic" w:hAnsi="Century Gothic"/>
          <w:sz w:val="20"/>
          <w:szCs w:val="20"/>
        </w:rPr>
        <w:t>;”</w:t>
      </w:r>
      <w:r w:rsidR="003E3274">
        <w:rPr>
          <w:rFonts w:ascii="Century Gothic" w:hAnsi="Century Gothic"/>
          <w:sz w:val="20"/>
          <w:szCs w:val="20"/>
        </w:rPr>
        <w:t>,</w:t>
      </w:r>
    </w:p>
    <w:p w14:paraId="03A590C0" w14:textId="7BE072B4" w:rsidR="00ED4296" w:rsidRPr="00187A8A" w:rsidRDefault="003E3274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ED4296" w:rsidRPr="00187A8A">
        <w:rPr>
          <w:rFonts w:ascii="Century Gothic" w:hAnsi="Century Gothic"/>
          <w:sz w:val="20"/>
          <w:szCs w:val="20"/>
        </w:rPr>
        <w:t>w pkt 2 po wyrazie „publiczne” dodaje się przecinek;</w:t>
      </w:r>
    </w:p>
    <w:p w14:paraId="01AED8BD" w14:textId="7A061117" w:rsidR="00ED4296" w:rsidRPr="00187A8A" w:rsidRDefault="00187A8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ED4296" w:rsidRPr="00187A8A">
        <w:rPr>
          <w:rFonts w:ascii="Century Gothic" w:hAnsi="Century Gothic"/>
          <w:sz w:val="20"/>
          <w:szCs w:val="20"/>
        </w:rPr>
        <w:t>) w art. 4 w ust. 2 pkt 8 otrzymuje brzmienie:</w:t>
      </w:r>
    </w:p>
    <w:p w14:paraId="2BBD8CF9" w14:textId="77777777" w:rsidR="00ED4296" w:rsidRPr="00187A8A" w:rsidRDefault="00ED4296" w:rsidP="003E3274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„8) realizacji działań informacyjnych i promocyjnych zgodnie z wytycznymi dotyczącymi systemu informacji i promocji w zakresie programów, w których określone zostaną również szczegółowe obowiązki poszczególnych instytucji systemu wdrażania Funduszy Europejskich oraz zasady współpracy i koordynacji działań informacyjnych i promocyjnych.”;</w:t>
      </w:r>
    </w:p>
    <w:p w14:paraId="21D5FCC9" w14:textId="392102C6" w:rsidR="00ED4296" w:rsidRPr="00187A8A" w:rsidRDefault="003E327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D4296" w:rsidRPr="00187A8A">
        <w:rPr>
          <w:rFonts w:ascii="Century Gothic" w:hAnsi="Century Gothic"/>
          <w:sz w:val="20"/>
          <w:szCs w:val="20"/>
        </w:rPr>
        <w:t>) w art. 5:</w:t>
      </w:r>
    </w:p>
    <w:p w14:paraId="3E32FE6E" w14:textId="4505522F" w:rsidR="003E3274" w:rsidRDefault="00ED4296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3E3274">
        <w:rPr>
          <w:rFonts w:ascii="Century Gothic" w:hAnsi="Century Gothic"/>
          <w:sz w:val="20"/>
          <w:szCs w:val="20"/>
        </w:rPr>
        <w:t>a) ust. 1</w:t>
      </w:r>
      <w:r w:rsidR="003E3274">
        <w:rPr>
          <w:rFonts w:ascii="Century Gothic" w:hAnsi="Century Gothic"/>
          <w:sz w:val="20"/>
          <w:szCs w:val="20"/>
        </w:rPr>
        <w:t xml:space="preserve"> otrzymuje brzmienie:</w:t>
      </w:r>
    </w:p>
    <w:p w14:paraId="58819FB1" w14:textId="316833B4" w:rsidR="003E3274" w:rsidRDefault="003E3274" w:rsidP="00FB0E6C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„1. Minister przeznacza na realizację Programu Regionalnego alokację w kwocie łącznej środków pochodzących z EFRR, EFS+ oraz FST w wysokości 2 744 942 943 EUR, w tym:</w:t>
      </w:r>
    </w:p>
    <w:p w14:paraId="05945570" w14:textId="09DE0AFC" w:rsidR="003E3274" w:rsidRDefault="003E3274" w:rsidP="00FB0E6C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>środków pochodzących z EFRR do wysokości 1 717 388 119 EUR;</w:t>
      </w:r>
    </w:p>
    <w:p w14:paraId="0815CA09" w14:textId="77777777" w:rsidR="00FB0E6C" w:rsidRDefault="003E3274" w:rsidP="00FB0E6C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>środków pochodzących z EFS+ do wysokości 658 032 055 EUR;</w:t>
      </w:r>
    </w:p>
    <w:p w14:paraId="541982C2" w14:textId="18762929" w:rsidR="003E3274" w:rsidRPr="00FB0E6C" w:rsidRDefault="003E3274" w:rsidP="00FB0E6C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>środków pochodzących z FST do wysokości 369 522 769 EUR, w tym:</w:t>
      </w:r>
    </w:p>
    <w:p w14:paraId="57D466BA" w14:textId="5E41CF81" w:rsidR="003E3274" w:rsidRDefault="00FB0E6C" w:rsidP="00FB0E6C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ramach </w:t>
      </w:r>
      <w:proofErr w:type="spellStart"/>
      <w:r>
        <w:rPr>
          <w:rFonts w:ascii="Century Gothic" w:hAnsi="Century Gothic"/>
          <w:sz w:val="20"/>
          <w:szCs w:val="20"/>
        </w:rPr>
        <w:t>NextGenerationEU</w:t>
      </w:r>
      <w:proofErr w:type="spellEnd"/>
      <w:r>
        <w:rPr>
          <w:rFonts w:ascii="Century Gothic" w:hAnsi="Century Gothic"/>
          <w:sz w:val="20"/>
          <w:szCs w:val="20"/>
        </w:rPr>
        <w:t xml:space="preserve"> do wysokości 207 718 471 EUR,</w:t>
      </w:r>
    </w:p>
    <w:p w14:paraId="1DC28226" w14:textId="6A9E25C0" w:rsidR="00FB0E6C" w:rsidRDefault="00FB0E6C" w:rsidP="00FB0E6C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ramach wieloletnich ram finansowych do wysokości 161 804 298 EUR.”,</w:t>
      </w:r>
    </w:p>
    <w:p w14:paraId="7038AD1D" w14:textId="6D297B8A" w:rsidR="00B80310" w:rsidRDefault="00FB0E6C" w:rsidP="00FB0E6C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B80310">
        <w:rPr>
          <w:rFonts w:ascii="Century Gothic" w:hAnsi="Century Gothic"/>
          <w:sz w:val="20"/>
          <w:szCs w:val="20"/>
        </w:rPr>
        <w:t>w ust. 2 liczbę „68 786 545” zastępuje się liczbą „</w:t>
      </w:r>
      <w:r w:rsidR="00B80310" w:rsidRPr="00B80310">
        <w:rPr>
          <w:rFonts w:ascii="Century Gothic" w:hAnsi="Century Gothic"/>
          <w:sz w:val="20"/>
          <w:szCs w:val="20"/>
        </w:rPr>
        <w:t>68 523</w:t>
      </w:r>
      <w:r w:rsidR="00B80310">
        <w:rPr>
          <w:rFonts w:ascii="Century Gothic" w:hAnsi="Century Gothic"/>
          <w:sz w:val="20"/>
          <w:szCs w:val="20"/>
        </w:rPr>
        <w:t> </w:t>
      </w:r>
      <w:r w:rsidR="00B80310" w:rsidRPr="00B80310">
        <w:rPr>
          <w:rFonts w:ascii="Century Gothic" w:hAnsi="Century Gothic"/>
          <w:sz w:val="20"/>
          <w:szCs w:val="20"/>
        </w:rPr>
        <w:t>786</w:t>
      </w:r>
      <w:r w:rsidR="00B80310">
        <w:rPr>
          <w:rFonts w:ascii="Century Gothic" w:hAnsi="Century Gothic"/>
          <w:sz w:val="20"/>
          <w:szCs w:val="20"/>
        </w:rPr>
        <w:t>”</w:t>
      </w:r>
      <w:r w:rsidR="00E0665D">
        <w:rPr>
          <w:rFonts w:ascii="Century Gothic" w:hAnsi="Century Gothic"/>
          <w:sz w:val="20"/>
          <w:szCs w:val="20"/>
        </w:rPr>
        <w:t>,</w:t>
      </w:r>
    </w:p>
    <w:p w14:paraId="0FB2415E" w14:textId="107C1EB7" w:rsidR="00B80310" w:rsidRDefault="00B80310" w:rsidP="00FB0E6C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w ust. 3 liczbę „23</w:t>
      </w:r>
      <w:r w:rsidR="00B239A2">
        <w:rPr>
          <w:rFonts w:ascii="Century Gothic" w:hAnsi="Century Gothic"/>
          <w:sz w:val="20"/>
          <w:szCs w:val="20"/>
        </w:rPr>
        <w:t> 174 385” zastępuje się liczbą „</w:t>
      </w:r>
      <w:r w:rsidR="00B239A2" w:rsidRPr="00B239A2">
        <w:rPr>
          <w:rFonts w:ascii="Century Gothic" w:hAnsi="Century Gothic"/>
          <w:sz w:val="20"/>
          <w:szCs w:val="20"/>
        </w:rPr>
        <w:t>26 666</w:t>
      </w:r>
      <w:r w:rsidR="00B239A2">
        <w:rPr>
          <w:rFonts w:ascii="Century Gothic" w:hAnsi="Century Gothic"/>
          <w:sz w:val="20"/>
          <w:szCs w:val="20"/>
        </w:rPr>
        <w:t> </w:t>
      </w:r>
      <w:r w:rsidR="00B239A2" w:rsidRPr="00B239A2">
        <w:rPr>
          <w:rFonts w:ascii="Century Gothic" w:hAnsi="Century Gothic"/>
          <w:sz w:val="20"/>
          <w:szCs w:val="20"/>
        </w:rPr>
        <w:t>519</w:t>
      </w:r>
      <w:r w:rsidR="00B239A2">
        <w:rPr>
          <w:rFonts w:ascii="Century Gothic" w:hAnsi="Century Gothic"/>
          <w:sz w:val="20"/>
          <w:szCs w:val="20"/>
        </w:rPr>
        <w:t>”</w:t>
      </w:r>
      <w:r w:rsidR="00E0665D">
        <w:rPr>
          <w:rFonts w:ascii="Century Gothic" w:hAnsi="Century Gothic"/>
          <w:sz w:val="20"/>
          <w:szCs w:val="20"/>
        </w:rPr>
        <w:t>,</w:t>
      </w:r>
    </w:p>
    <w:p w14:paraId="5B8BCBE6" w14:textId="3F9E5ECF" w:rsidR="00ED4296" w:rsidRDefault="00B239A2" w:rsidP="00FB0E6C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d) </w:t>
      </w:r>
      <w:r w:rsidR="002E363A">
        <w:rPr>
          <w:rFonts w:ascii="Century Gothic" w:hAnsi="Century Gothic"/>
          <w:sz w:val="20"/>
          <w:szCs w:val="20"/>
        </w:rPr>
        <w:t xml:space="preserve">po ust. 3 </w:t>
      </w:r>
      <w:r>
        <w:rPr>
          <w:rFonts w:ascii="Century Gothic" w:hAnsi="Century Gothic"/>
          <w:sz w:val="20"/>
          <w:szCs w:val="20"/>
        </w:rPr>
        <w:t xml:space="preserve">dodaje się </w:t>
      </w:r>
      <w:r w:rsidR="00ED4296" w:rsidRPr="00187A8A">
        <w:rPr>
          <w:rFonts w:ascii="Century Gothic" w:hAnsi="Century Gothic"/>
          <w:sz w:val="20"/>
          <w:szCs w:val="20"/>
        </w:rPr>
        <w:t xml:space="preserve">ust. 3a </w:t>
      </w:r>
      <w:r>
        <w:rPr>
          <w:rFonts w:ascii="Century Gothic" w:hAnsi="Century Gothic"/>
          <w:sz w:val="20"/>
          <w:szCs w:val="20"/>
        </w:rPr>
        <w:t>w brzmieniu:</w:t>
      </w:r>
    </w:p>
    <w:p w14:paraId="7FFA53C3" w14:textId="47DD561A" w:rsidR="00B239A2" w:rsidRPr="00187A8A" w:rsidRDefault="00B239A2" w:rsidP="00B239A2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„3a. </w:t>
      </w:r>
      <w:r w:rsidRPr="00B239A2">
        <w:rPr>
          <w:rFonts w:ascii="Century Gothic" w:hAnsi="Century Gothic"/>
          <w:sz w:val="20"/>
          <w:szCs w:val="20"/>
        </w:rPr>
        <w:t>W ramach środków FST, o których mowa w ust. 1 pkt 3, Minister przeznacza na realizację Programu Regionalnego środki na pomoc techniczną do wysokości 14 780 911 EUR</w:t>
      </w:r>
      <w:r>
        <w:rPr>
          <w:rFonts w:ascii="Century Gothic" w:hAnsi="Century Gothic"/>
          <w:sz w:val="20"/>
          <w:szCs w:val="20"/>
        </w:rPr>
        <w:t>.”</w:t>
      </w:r>
      <w:r w:rsidR="00E0665D">
        <w:rPr>
          <w:rFonts w:ascii="Century Gothic" w:hAnsi="Century Gothic"/>
          <w:sz w:val="20"/>
          <w:szCs w:val="20"/>
        </w:rPr>
        <w:t>,</w:t>
      </w:r>
    </w:p>
    <w:p w14:paraId="1D1A193D" w14:textId="0EBFECAD" w:rsidR="00ED4296" w:rsidRDefault="00B239A2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ED4296" w:rsidRPr="00187A8A">
        <w:rPr>
          <w:rFonts w:ascii="Century Gothic" w:hAnsi="Century Gothic"/>
          <w:sz w:val="20"/>
          <w:szCs w:val="20"/>
        </w:rPr>
        <w:t>) w ust. 4:</w:t>
      </w:r>
    </w:p>
    <w:p w14:paraId="78D2F419" w14:textId="5567257D" w:rsidR="007E087D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- </w:t>
      </w:r>
      <w:r w:rsidR="007E087D">
        <w:rPr>
          <w:rFonts w:ascii="Century Gothic" w:hAnsi="Century Gothic"/>
          <w:sz w:val="20"/>
          <w:szCs w:val="20"/>
        </w:rPr>
        <w:t>we wprowadzeniu do wyliczenia w wyrażeniu „EFRR i EFS+” spójnik „i” zastępuje się przecinkiem i dodaje się wyrazy „oraz FST”,</w:t>
      </w:r>
    </w:p>
    <w:p w14:paraId="695FFD16" w14:textId="227D18E0" w:rsidR="00DA2727" w:rsidRDefault="007E087D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187A8A">
        <w:rPr>
          <w:rFonts w:ascii="Century Gothic" w:hAnsi="Century Gothic"/>
          <w:sz w:val="20"/>
          <w:szCs w:val="20"/>
        </w:rPr>
        <w:t>w pkt 1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0D46F51B" w14:textId="71A0BC9D" w:rsidR="00ED4296" w:rsidRDefault="00ED4296" w:rsidP="00DA2727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 wyrazach „środki z budżetu państwa” dodaje się wyrazy „do wysokości </w:t>
      </w:r>
      <w:r w:rsidR="00B239A2" w:rsidRPr="00B239A2">
        <w:rPr>
          <w:rFonts w:ascii="Century Gothic" w:hAnsi="Century Gothic"/>
          <w:sz w:val="20"/>
          <w:szCs w:val="20"/>
        </w:rPr>
        <w:t xml:space="preserve">36 334 607 </w:t>
      </w:r>
      <w:r w:rsidRPr="00187A8A">
        <w:rPr>
          <w:rFonts w:ascii="Century Gothic" w:hAnsi="Century Gothic"/>
          <w:sz w:val="20"/>
          <w:szCs w:val="20"/>
        </w:rPr>
        <w:t>EUR,”,</w:t>
      </w:r>
    </w:p>
    <w:p w14:paraId="3E70C91F" w14:textId="2387AC9A" w:rsidR="00DA2727" w:rsidRDefault="00DA2727" w:rsidP="00DA2727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„za zgodą Ministra” usuwa się przecinek i wyrazy „w kwocie określonej zgodnie z ust. 5”,</w:t>
      </w:r>
    </w:p>
    <w:p w14:paraId="26F550D6" w14:textId="4B344182" w:rsidR="0094572D" w:rsidRDefault="00AD4C7D" w:rsidP="00AD4C7D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wyraz „konkursu” zastępuje się wyrazem „naboru”,</w:t>
      </w:r>
    </w:p>
    <w:p w14:paraId="2EC20540" w14:textId="3E50AE1F" w:rsidR="00171EB9" w:rsidRPr="00AD4C7D" w:rsidRDefault="00171EB9" w:rsidP="00AD4C7D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liczbę „30” zastępuje się liczbą „50”,</w:t>
      </w:r>
    </w:p>
    <w:p w14:paraId="181F775B" w14:textId="77777777" w:rsidR="00DA2727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- w pkt 2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7635CC45" w14:textId="0E891D34" w:rsidR="00ED4296" w:rsidRDefault="00ED4296" w:rsidP="00DA2727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po wyra</w:t>
      </w:r>
      <w:r w:rsidR="00FB0E6C">
        <w:rPr>
          <w:rFonts w:ascii="Century Gothic" w:hAnsi="Century Gothic"/>
          <w:sz w:val="20"/>
          <w:szCs w:val="20"/>
        </w:rPr>
        <w:t>zach</w:t>
      </w:r>
      <w:r w:rsidRPr="00187A8A">
        <w:rPr>
          <w:rFonts w:ascii="Century Gothic" w:hAnsi="Century Gothic"/>
          <w:sz w:val="20"/>
          <w:szCs w:val="20"/>
        </w:rPr>
        <w:t xml:space="preserve"> „środki z budżetu państwa” dodaje się wyra</w:t>
      </w:r>
      <w:r w:rsidR="00FB0E6C">
        <w:rPr>
          <w:rFonts w:ascii="Century Gothic" w:hAnsi="Century Gothic"/>
          <w:sz w:val="20"/>
          <w:szCs w:val="20"/>
        </w:rPr>
        <w:t>zy</w:t>
      </w:r>
      <w:r w:rsidRPr="00187A8A">
        <w:rPr>
          <w:rFonts w:ascii="Century Gothic" w:hAnsi="Century Gothic"/>
          <w:sz w:val="20"/>
          <w:szCs w:val="20"/>
        </w:rPr>
        <w:t xml:space="preserve"> „do wysokości </w:t>
      </w:r>
      <w:r w:rsidR="00B239A2" w:rsidRPr="00B239A2">
        <w:rPr>
          <w:rFonts w:ascii="Century Gothic" w:hAnsi="Century Gothic"/>
          <w:sz w:val="20"/>
          <w:szCs w:val="20"/>
        </w:rPr>
        <w:t xml:space="preserve">42 737 512 </w:t>
      </w:r>
      <w:r w:rsidRPr="00187A8A">
        <w:rPr>
          <w:rFonts w:ascii="Century Gothic" w:hAnsi="Century Gothic"/>
          <w:sz w:val="20"/>
          <w:szCs w:val="20"/>
        </w:rPr>
        <w:t>EUR,”,</w:t>
      </w:r>
    </w:p>
    <w:p w14:paraId="3D321A8C" w14:textId="7C8F6EB5" w:rsidR="00DA2727" w:rsidRPr="00DA2727" w:rsidRDefault="00DA2727" w:rsidP="00DA2727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„za zgodą Ministra” usuwa się przecinek i wyrazy „w kwocie określonej zgodnie z ust. 5</w:t>
      </w:r>
      <w:r w:rsidR="005E6986">
        <w:rPr>
          <w:rFonts w:ascii="Century Gothic" w:hAnsi="Century Gothic"/>
          <w:sz w:val="20"/>
          <w:szCs w:val="20"/>
        </w:rPr>
        <w:t>.</w:t>
      </w:r>
      <w:r w:rsidRPr="006D0655">
        <w:rPr>
          <w:rFonts w:ascii="Century Gothic" w:hAnsi="Century Gothic"/>
          <w:sz w:val="20"/>
          <w:szCs w:val="20"/>
        </w:rPr>
        <w:t>”,</w:t>
      </w:r>
    </w:p>
    <w:p w14:paraId="08EA6D81" w14:textId="3D84AD9B" w:rsidR="00ED4296" w:rsidRPr="00187A8A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- </w:t>
      </w:r>
      <w:r w:rsidR="00B239A2">
        <w:rPr>
          <w:rFonts w:ascii="Century Gothic" w:hAnsi="Century Gothic"/>
          <w:sz w:val="20"/>
          <w:szCs w:val="20"/>
        </w:rPr>
        <w:t xml:space="preserve">dodaje się </w:t>
      </w:r>
      <w:r w:rsidRPr="00187A8A">
        <w:rPr>
          <w:rFonts w:ascii="Century Gothic" w:hAnsi="Century Gothic"/>
          <w:sz w:val="20"/>
          <w:szCs w:val="20"/>
        </w:rPr>
        <w:t xml:space="preserve">pkt 3 </w:t>
      </w:r>
      <w:r w:rsidR="00B239A2">
        <w:rPr>
          <w:rFonts w:ascii="Century Gothic" w:hAnsi="Century Gothic"/>
          <w:sz w:val="20"/>
          <w:szCs w:val="20"/>
        </w:rPr>
        <w:t>w</w:t>
      </w:r>
      <w:r w:rsidRPr="00187A8A">
        <w:rPr>
          <w:rFonts w:ascii="Century Gothic" w:hAnsi="Century Gothic"/>
          <w:sz w:val="20"/>
          <w:szCs w:val="20"/>
        </w:rPr>
        <w:t xml:space="preserve"> brzmieni</w:t>
      </w:r>
      <w:r w:rsidR="00B239A2">
        <w:rPr>
          <w:rFonts w:ascii="Century Gothic" w:hAnsi="Century Gothic"/>
          <w:sz w:val="20"/>
          <w:szCs w:val="20"/>
        </w:rPr>
        <w:t>u</w:t>
      </w:r>
      <w:r w:rsidRPr="00187A8A">
        <w:rPr>
          <w:rFonts w:ascii="Century Gothic" w:hAnsi="Century Gothic"/>
          <w:sz w:val="20"/>
          <w:szCs w:val="20"/>
        </w:rPr>
        <w:t>:</w:t>
      </w:r>
    </w:p>
    <w:p w14:paraId="247799D9" w14:textId="22918DFB" w:rsidR="00ED4296" w:rsidRPr="00187A8A" w:rsidRDefault="00ED4296" w:rsidP="00ED4296">
      <w:pPr>
        <w:spacing w:before="120" w:after="120" w:line="360" w:lineRule="auto"/>
        <w:ind w:left="108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„3) </w:t>
      </w:r>
      <w:r w:rsidR="00B239A2" w:rsidRPr="00B239A2">
        <w:rPr>
          <w:rFonts w:ascii="Century Gothic" w:hAnsi="Century Gothic"/>
          <w:sz w:val="20"/>
          <w:szCs w:val="20"/>
        </w:rPr>
        <w:t xml:space="preserve">środki z budżetu państwa do wysokości 21 935 173 EUR, stanowiące uzupełnienie do środków z FST, w tym w odniesieniu do środków z FST w ramach </w:t>
      </w:r>
      <w:proofErr w:type="spellStart"/>
      <w:r w:rsidR="00B239A2" w:rsidRPr="00B239A2">
        <w:rPr>
          <w:rFonts w:ascii="Century Gothic" w:hAnsi="Century Gothic"/>
          <w:sz w:val="20"/>
          <w:szCs w:val="20"/>
        </w:rPr>
        <w:t>NextGenerationEU</w:t>
      </w:r>
      <w:proofErr w:type="spellEnd"/>
      <w:r w:rsidR="00B239A2" w:rsidRPr="00B239A2">
        <w:rPr>
          <w:rFonts w:ascii="Century Gothic" w:hAnsi="Century Gothic"/>
          <w:sz w:val="20"/>
          <w:szCs w:val="20"/>
        </w:rPr>
        <w:t xml:space="preserve"> – do wysokości 12 330 338 EUR oraz w odniesieniu do środków z FST w ramach wieloletnich ram finansowych – do wysokości 9 604 835 EUR, z przeznaczeniem na część wkładu krajowego w ramach projektów realizowanych w ramach Programu Regionalnego, z zastrzeżeniem, że dla projektów, których wartość dofinansowania środkami z budżetu państwa przekracza 10 mln PLN wymagana jest zgoda Ministra. W celu wydania zgody, Minister może zasięgnąć opinii ministra właściwego ze względu na zakres rzeczowy projektu lub projektów, których zgoda ma dotyczyć. Z</w:t>
      </w:r>
      <w:r w:rsidR="003F3DE7">
        <w:rPr>
          <w:rFonts w:ascii="Century Gothic" w:hAnsi="Century Gothic"/>
          <w:sz w:val="20"/>
          <w:szCs w:val="20"/>
        </w:rPr>
        <w:t>goda</w:t>
      </w:r>
      <w:r w:rsidR="00B239A2" w:rsidRPr="00B239A2">
        <w:rPr>
          <w:rFonts w:ascii="Century Gothic" w:hAnsi="Century Gothic"/>
          <w:sz w:val="20"/>
          <w:szCs w:val="20"/>
        </w:rPr>
        <w:t>, o której mowa w zdaniu poprzedzającym, może zostać udzielona przed podpisaniem umów o dofinansowanie na realizację tych projektów. W odniesieniu do projektów realizowanych w sposób konkurencyjny, zgoda może dotyczyć więcej niż jednego projektu i może być wydana przed ogłoszeniem naboru</w:t>
      </w:r>
      <w:r w:rsidRPr="00187A8A">
        <w:rPr>
          <w:rFonts w:ascii="Century Gothic" w:hAnsi="Century Gothic"/>
          <w:sz w:val="20"/>
          <w:szCs w:val="20"/>
        </w:rPr>
        <w:t>.”,</w:t>
      </w:r>
    </w:p>
    <w:p w14:paraId="1B55E536" w14:textId="27A46657" w:rsidR="00ED4296" w:rsidRPr="00187A8A" w:rsidRDefault="00B239A2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f</w:t>
      </w:r>
      <w:r w:rsidR="00ED4296" w:rsidRPr="00187A8A">
        <w:rPr>
          <w:rFonts w:ascii="Century Gothic" w:hAnsi="Century Gothic"/>
          <w:sz w:val="20"/>
          <w:szCs w:val="20"/>
        </w:rPr>
        <w:t>) uchyla się ust. 5,</w:t>
      </w:r>
    </w:p>
    <w:p w14:paraId="3CB9E90E" w14:textId="2604E090" w:rsidR="008A34DE" w:rsidRDefault="008A34DE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ED4296" w:rsidRPr="00187A8A">
        <w:rPr>
          <w:rFonts w:ascii="Century Gothic" w:hAnsi="Century Gothic"/>
          <w:sz w:val="20"/>
          <w:szCs w:val="20"/>
        </w:rPr>
        <w:t xml:space="preserve">) w ust. 7 </w:t>
      </w:r>
      <w:r>
        <w:rPr>
          <w:rFonts w:ascii="Century Gothic" w:hAnsi="Century Gothic"/>
          <w:sz w:val="20"/>
          <w:szCs w:val="20"/>
        </w:rPr>
        <w:t>dodaje się zdanie drugie w brzmieniu:</w:t>
      </w:r>
    </w:p>
    <w:p w14:paraId="4947181E" w14:textId="7900CC0B" w:rsidR="00ED4296" w:rsidRDefault="008A34DE" w:rsidP="008A34DE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8A34DE">
        <w:rPr>
          <w:rFonts w:ascii="Century Gothic" w:hAnsi="Century Gothic"/>
          <w:sz w:val="20"/>
          <w:szCs w:val="20"/>
        </w:rPr>
        <w:t>Nie jest możliwe przenoszenie środków, o których mowa w ust. 4 pkt 3, do środków, o których mowa w ust. 4 pkt 1 lub 2, oraz środków, o których mowa w ust. 4 pkt 1 lub 2, do środków, o których mowa w ust. 4 pkt 3.</w:t>
      </w:r>
      <w:r>
        <w:rPr>
          <w:rFonts w:ascii="Century Gothic" w:hAnsi="Century Gothic"/>
          <w:sz w:val="20"/>
          <w:szCs w:val="20"/>
        </w:rPr>
        <w:t>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245E0970" w14:textId="05EB2709" w:rsidR="008A34DE" w:rsidRDefault="008A34DE" w:rsidP="008A34DE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h) ust. 8 otrzymuje brzmienie:</w:t>
      </w:r>
    </w:p>
    <w:p w14:paraId="29454B14" w14:textId="02AC908C" w:rsidR="008A34DE" w:rsidRPr="00187A8A" w:rsidRDefault="008A34DE" w:rsidP="008A34DE">
      <w:pPr>
        <w:spacing w:before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„8. </w:t>
      </w:r>
      <w:r w:rsidRPr="008A34DE">
        <w:rPr>
          <w:rFonts w:ascii="Century Gothic" w:hAnsi="Century Gothic"/>
          <w:sz w:val="20"/>
          <w:szCs w:val="20"/>
        </w:rPr>
        <w:t>Kwoty, o których mowa w ust. 4 pkt 1-3, nie obejmują środków na finansowanie wkładu krajowego w ramach projektów realizowanych w ramach Programu Regionalnego przez państwowe jednostki budżetowe oraz jednostki samorządu terytorialnego jako zadania zlecone z zakresu administracji rządowej.</w:t>
      </w:r>
      <w:r>
        <w:rPr>
          <w:rFonts w:ascii="Century Gothic" w:hAnsi="Century Gothic"/>
          <w:sz w:val="20"/>
          <w:szCs w:val="20"/>
        </w:rPr>
        <w:t>”</w:t>
      </w:r>
      <w:r w:rsidR="003C0EF2">
        <w:rPr>
          <w:rFonts w:ascii="Century Gothic" w:hAnsi="Century Gothic"/>
          <w:sz w:val="20"/>
          <w:szCs w:val="20"/>
        </w:rPr>
        <w:t>,</w:t>
      </w:r>
    </w:p>
    <w:p w14:paraId="112C4942" w14:textId="0EEFF431" w:rsidR="00C813F6" w:rsidRDefault="003C0EF2" w:rsidP="002E363A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ED4296" w:rsidRPr="00187A8A">
        <w:rPr>
          <w:rFonts w:ascii="Century Gothic" w:hAnsi="Century Gothic"/>
          <w:sz w:val="20"/>
          <w:szCs w:val="20"/>
        </w:rPr>
        <w:t>) w ust. 9 po wyrazach „do wysokości” dodaje się kwotę „</w:t>
      </w:r>
      <w:r w:rsidRPr="003C0EF2">
        <w:rPr>
          <w:rFonts w:ascii="Century Gothic" w:hAnsi="Century Gothic"/>
          <w:sz w:val="20"/>
          <w:szCs w:val="20"/>
        </w:rPr>
        <w:t>169 848</w:t>
      </w:r>
      <w:r>
        <w:rPr>
          <w:rFonts w:ascii="Century Gothic" w:hAnsi="Century Gothic"/>
          <w:sz w:val="20"/>
          <w:szCs w:val="20"/>
        </w:rPr>
        <w:t> </w:t>
      </w:r>
      <w:r w:rsidRPr="003C0EF2">
        <w:rPr>
          <w:rFonts w:ascii="Century Gothic" w:hAnsi="Century Gothic"/>
          <w:sz w:val="20"/>
          <w:szCs w:val="20"/>
        </w:rPr>
        <w:t>046</w:t>
      </w:r>
      <w:r>
        <w:rPr>
          <w:rFonts w:ascii="Century Gothic" w:hAnsi="Century Gothic"/>
          <w:sz w:val="20"/>
          <w:szCs w:val="20"/>
        </w:rPr>
        <w:t xml:space="preserve"> </w:t>
      </w:r>
      <w:r w:rsidR="00ED4296" w:rsidRPr="00187A8A">
        <w:rPr>
          <w:rFonts w:ascii="Century Gothic" w:hAnsi="Century Gothic"/>
          <w:sz w:val="20"/>
          <w:szCs w:val="20"/>
        </w:rPr>
        <w:t>EUR”,</w:t>
      </w:r>
    </w:p>
    <w:p w14:paraId="6F74E6D3" w14:textId="21072E75" w:rsidR="00ED4296" w:rsidRPr="00187A8A" w:rsidRDefault="002E363A" w:rsidP="00ED4296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</w:t>
      </w:r>
      <w:r w:rsidR="00C813F6"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ust. 12 po wyrazach „obciążających Ministra” dodaje się wyrazy „na skutek działania lub zaniechania Strony rządowej”,</w:t>
      </w:r>
    </w:p>
    <w:p w14:paraId="72C813E7" w14:textId="015AA6E9" w:rsidR="00ED4296" w:rsidRPr="00187A8A" w:rsidRDefault="002E363A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</w:t>
      </w:r>
      <w:r w:rsidR="00ED4296" w:rsidRPr="00187A8A">
        <w:rPr>
          <w:rFonts w:ascii="Century Gothic" w:hAnsi="Century Gothic"/>
          <w:sz w:val="20"/>
          <w:szCs w:val="20"/>
        </w:rPr>
        <w:t>) dodaje się ust. 13 w brzmieniu:</w:t>
      </w:r>
    </w:p>
    <w:p w14:paraId="00B06A73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„13. W razie automatycznego anulowania zobowiązań zgodnie z art. 103 rozporządzenia 2021/1060 w odniesieniu do środków pochodzących z EFRR, EFS+ lub FST, środki z budżetu państwa, o których mowa w ust. 4 pkt 1, 2 lub 3, ulegają zmniejszeniu odpowiednio, wprost proporcjonalnie do skali anulowanego zobowiązania w odniesieniu do środków pochodzących z EFRR, EFS+ lub FST. W przypadku, gdy Minister przekazał Stronie samorządowej środki w kwocie wyższej niż wynika to ze zmniejszenia, o którym mowa w zdaniu poprzednim, Strona samorządowa jest zobowiązana do zwrotu tych środków na warunkach uzgodnionych z Ministrem.”;</w:t>
      </w:r>
    </w:p>
    <w:p w14:paraId="0AF0760D" w14:textId="1DEAAA0D" w:rsidR="00ED4296" w:rsidRPr="00187A8A" w:rsidRDefault="00C813F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6:</w:t>
      </w:r>
    </w:p>
    <w:p w14:paraId="45ED9402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ust. 3 otrzymuje brzmienie:</w:t>
      </w:r>
    </w:p>
    <w:p w14:paraId="4653FA6A" w14:textId="696E76F8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„3. Wysokość wkładu krajowego, o którym mowa w ust. 1, wynosi nie mniej niż </w:t>
      </w:r>
      <w:r w:rsidR="003C0EF2" w:rsidRPr="003C0EF2">
        <w:rPr>
          <w:rFonts w:ascii="Century Gothic" w:hAnsi="Century Gothic"/>
          <w:sz w:val="20"/>
          <w:szCs w:val="20"/>
        </w:rPr>
        <w:t xml:space="preserve">484 401 703 </w:t>
      </w:r>
      <w:r w:rsidRPr="00187A8A">
        <w:rPr>
          <w:rFonts w:ascii="Century Gothic" w:hAnsi="Century Gothic"/>
          <w:sz w:val="20"/>
          <w:szCs w:val="20"/>
        </w:rPr>
        <w:t>EUR, w tym:</w:t>
      </w:r>
    </w:p>
    <w:p w14:paraId="1EBA8309" w14:textId="4A1BE32C" w:rsidR="00ED4296" w:rsidRPr="00187A8A" w:rsidRDefault="00ED4296" w:rsidP="00ED4296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EFRR – nie mniej niż </w:t>
      </w:r>
      <w:r w:rsidR="003C0EF2" w:rsidRPr="003C0EF2">
        <w:rPr>
          <w:rFonts w:ascii="Century Gothic" w:hAnsi="Century Gothic"/>
          <w:sz w:val="20"/>
          <w:szCs w:val="20"/>
        </w:rPr>
        <w:t xml:space="preserve">303 068 495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7441B187" w14:textId="7A27F9AC" w:rsidR="00ED4296" w:rsidRPr="00187A8A" w:rsidRDefault="00ED4296" w:rsidP="00ED4296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EFS+ – nie mniej niż </w:t>
      </w:r>
      <w:r w:rsidR="003D02A9">
        <w:rPr>
          <w:rFonts w:ascii="Century Gothic" w:hAnsi="Century Gothic"/>
          <w:sz w:val="20"/>
          <w:szCs w:val="20"/>
        </w:rPr>
        <w:t>116 123 306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17449044" w14:textId="6A23DFED" w:rsidR="00ED4296" w:rsidRPr="00187A8A" w:rsidRDefault="00ED4296" w:rsidP="00ED4296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FST w ramach </w:t>
      </w:r>
      <w:proofErr w:type="spellStart"/>
      <w:r w:rsidRPr="00187A8A">
        <w:rPr>
          <w:rFonts w:ascii="Century Gothic" w:hAnsi="Century Gothic"/>
          <w:sz w:val="20"/>
          <w:szCs w:val="20"/>
        </w:rPr>
        <w:t>NextGenerationEU</w:t>
      </w:r>
      <w:proofErr w:type="spellEnd"/>
      <w:r w:rsidRPr="00187A8A">
        <w:rPr>
          <w:rFonts w:ascii="Century Gothic" w:hAnsi="Century Gothic"/>
          <w:sz w:val="20"/>
          <w:szCs w:val="20"/>
        </w:rPr>
        <w:t xml:space="preserve"> – nie mniej niż </w:t>
      </w:r>
      <w:r w:rsidR="00046DC1" w:rsidRPr="00046DC1">
        <w:rPr>
          <w:rFonts w:ascii="Century Gothic" w:hAnsi="Century Gothic"/>
          <w:sz w:val="20"/>
          <w:szCs w:val="20"/>
        </w:rPr>
        <w:t xml:space="preserve">36 656 202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3C5F3CDF" w14:textId="58EA43F6" w:rsidR="00ED4296" w:rsidRPr="00187A8A" w:rsidRDefault="00ED4296" w:rsidP="00ED4296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FST w ramach wieloletnich ram finansowych – nie mniej niż </w:t>
      </w:r>
      <w:r w:rsidR="00046DC1" w:rsidRPr="00046DC1">
        <w:rPr>
          <w:rFonts w:ascii="Century Gothic" w:hAnsi="Century Gothic"/>
          <w:sz w:val="20"/>
          <w:szCs w:val="20"/>
        </w:rPr>
        <w:t xml:space="preserve">28 553 700 </w:t>
      </w:r>
      <w:r w:rsidRPr="00187A8A">
        <w:rPr>
          <w:rFonts w:ascii="Century Gothic" w:hAnsi="Century Gothic"/>
          <w:sz w:val="20"/>
          <w:szCs w:val="20"/>
        </w:rPr>
        <w:t>EUR.”,</w:t>
      </w:r>
    </w:p>
    <w:p w14:paraId="2CAF0B62" w14:textId="4923E6EA" w:rsidR="00ED4296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lastRenderedPageBreak/>
        <w:t>b) w ust. 7 po wyrazach „Strona samorządowa ponosi skutki finansowe wynikające z realizacji Programu Regionalnego</w:t>
      </w:r>
      <w:r w:rsidR="00C813F6">
        <w:rPr>
          <w:rFonts w:ascii="Century Gothic" w:hAnsi="Century Gothic"/>
          <w:sz w:val="20"/>
          <w:szCs w:val="20"/>
        </w:rPr>
        <w:t>”</w:t>
      </w:r>
      <w:r w:rsidRPr="00187A8A">
        <w:rPr>
          <w:rFonts w:ascii="Century Gothic" w:hAnsi="Century Gothic"/>
          <w:sz w:val="20"/>
          <w:szCs w:val="20"/>
        </w:rPr>
        <w:t xml:space="preserve"> dodaje się przecinek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68312347" w14:textId="1E485861" w:rsidR="00046DC1" w:rsidRDefault="00046DC1" w:rsidP="00046DC1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dodaje się ust. 8 w brzmieniu:</w:t>
      </w:r>
    </w:p>
    <w:p w14:paraId="587352D6" w14:textId="33CB7027" w:rsidR="00046DC1" w:rsidRPr="00046DC1" w:rsidRDefault="00046DC1" w:rsidP="00046DC1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„8. </w:t>
      </w:r>
      <w:r w:rsidRPr="00046DC1">
        <w:rPr>
          <w:rFonts w:ascii="Century Gothic" w:hAnsi="Century Gothic"/>
          <w:sz w:val="20"/>
          <w:szCs w:val="20"/>
        </w:rPr>
        <w:t>Strona samorządowa zobowiązuje się do utrzymania jednolitego procentu kontraktacji środków na pomoc techniczną, o których mowa w art. 5 ust. 3a, względem procentu kontraktacji alokacji środków, o których mowa w art. 5 ust. 1 pkt 3.</w:t>
      </w:r>
      <w:r>
        <w:rPr>
          <w:rFonts w:ascii="Century Gothic" w:hAnsi="Century Gothic"/>
          <w:sz w:val="20"/>
          <w:szCs w:val="20"/>
        </w:rPr>
        <w:t>”</w:t>
      </w:r>
      <w:r w:rsidR="00C813F6">
        <w:rPr>
          <w:rFonts w:ascii="Century Gothic" w:hAnsi="Century Gothic"/>
          <w:sz w:val="20"/>
          <w:szCs w:val="20"/>
        </w:rPr>
        <w:t>;</w:t>
      </w:r>
    </w:p>
    <w:p w14:paraId="386EE870" w14:textId="77777777" w:rsidR="00646743" w:rsidRDefault="00C813F6" w:rsidP="00C813F6">
      <w:pPr>
        <w:pStyle w:val="Akapitzlist"/>
        <w:spacing w:before="120" w:after="12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6) </w:t>
      </w:r>
      <w:r w:rsidR="00ED4296" w:rsidRPr="009A26FE">
        <w:rPr>
          <w:rFonts w:ascii="Century Gothic" w:hAnsi="Century Gothic"/>
          <w:sz w:val="20"/>
          <w:szCs w:val="20"/>
        </w:rPr>
        <w:t>w art. 7</w:t>
      </w:r>
      <w:r w:rsidR="00646743">
        <w:rPr>
          <w:rFonts w:ascii="Century Gothic" w:hAnsi="Century Gothic"/>
          <w:sz w:val="20"/>
          <w:szCs w:val="20"/>
        </w:rPr>
        <w:t>:</w:t>
      </w:r>
    </w:p>
    <w:p w14:paraId="5254764F" w14:textId="14788925" w:rsidR="00ED4296" w:rsidRPr="009A26FE" w:rsidRDefault="00646743" w:rsidP="00646743">
      <w:pPr>
        <w:pStyle w:val="Akapitzlist"/>
        <w:spacing w:before="120" w:after="120" w:line="360" w:lineRule="auto"/>
        <w:ind w:left="0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w</w:t>
      </w:r>
      <w:r w:rsidR="00ED4296" w:rsidRPr="009A26FE">
        <w:rPr>
          <w:rFonts w:ascii="Century Gothic" w:hAnsi="Century Gothic"/>
          <w:sz w:val="20"/>
          <w:szCs w:val="20"/>
        </w:rPr>
        <w:t xml:space="preserve"> ust. 1 </w:t>
      </w:r>
      <w:r w:rsidR="00046DC1" w:rsidRPr="009A26FE">
        <w:rPr>
          <w:rFonts w:ascii="Century Gothic" w:hAnsi="Century Gothic"/>
          <w:sz w:val="20"/>
          <w:szCs w:val="20"/>
        </w:rPr>
        <w:t xml:space="preserve">dodaje się </w:t>
      </w:r>
      <w:r w:rsidR="00ED4296" w:rsidRPr="009A26FE">
        <w:rPr>
          <w:rFonts w:ascii="Century Gothic" w:hAnsi="Century Gothic"/>
          <w:sz w:val="20"/>
          <w:szCs w:val="20"/>
        </w:rPr>
        <w:t xml:space="preserve">pkt 6 </w:t>
      </w:r>
      <w:r w:rsidR="00046DC1" w:rsidRPr="009A26FE">
        <w:rPr>
          <w:rFonts w:ascii="Century Gothic" w:hAnsi="Century Gothic"/>
          <w:sz w:val="20"/>
          <w:szCs w:val="20"/>
        </w:rPr>
        <w:t>w brzmieniu:</w:t>
      </w:r>
    </w:p>
    <w:p w14:paraId="3628E9D6" w14:textId="51AAEC45" w:rsidR="00046DC1" w:rsidRDefault="00046DC1" w:rsidP="00C813F6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046DC1">
        <w:rPr>
          <w:rFonts w:ascii="Century Gothic" w:hAnsi="Century Gothic"/>
          <w:sz w:val="20"/>
          <w:szCs w:val="20"/>
        </w:rPr>
        <w:t>6)</w:t>
      </w:r>
      <w:r>
        <w:rPr>
          <w:rFonts w:ascii="Century Gothic" w:hAnsi="Century Gothic"/>
          <w:sz w:val="20"/>
          <w:szCs w:val="20"/>
        </w:rPr>
        <w:t xml:space="preserve"> </w:t>
      </w:r>
      <w:r w:rsidRPr="00046DC1">
        <w:rPr>
          <w:rFonts w:ascii="Century Gothic" w:hAnsi="Century Gothic"/>
          <w:sz w:val="20"/>
          <w:szCs w:val="20"/>
        </w:rPr>
        <w:t xml:space="preserve">cel szczegółowy </w:t>
      </w:r>
      <w:r w:rsidRPr="009A26FE">
        <w:rPr>
          <w:rFonts w:ascii="Century Gothic" w:hAnsi="Century Gothic"/>
          <w:i/>
          <w:iCs/>
          <w:sz w:val="20"/>
          <w:szCs w:val="20"/>
        </w:rPr>
        <w:t>Umożliwienie regionom i ludnoś</w:t>
      </w:r>
      <w:r w:rsidR="00BF2455">
        <w:rPr>
          <w:rFonts w:ascii="Century Gothic" w:hAnsi="Century Gothic"/>
          <w:i/>
          <w:iCs/>
          <w:sz w:val="20"/>
          <w:szCs w:val="20"/>
        </w:rPr>
        <w:t>ci</w:t>
      </w:r>
      <w:r w:rsidRPr="009A26FE">
        <w:rPr>
          <w:rFonts w:ascii="Century Gothic" w:hAnsi="Century Gothic"/>
          <w:i/>
          <w:iCs/>
          <w:sz w:val="20"/>
          <w:szCs w:val="20"/>
        </w:rPr>
        <w:t xml:space="preserve"> łagodzenia wpływających na społeczeństwo, zatrudnienie, gospodarkę i środowisko skutków transformacji w kierunku osiągnięcia celów Unii na rok 2023 w dziedzinie energii i klimatu oraz w kierunku neutralnej dla klimatu gospodarki Unii do roku 2050 w oparciu o porozumienie paryskie</w:t>
      </w:r>
      <w:r w:rsidRPr="00046DC1">
        <w:rPr>
          <w:rFonts w:ascii="Century Gothic" w:hAnsi="Century Gothic"/>
          <w:sz w:val="20"/>
          <w:szCs w:val="20"/>
        </w:rPr>
        <w:t>, zwany dalej „CP6”.</w:t>
      </w:r>
      <w:r>
        <w:rPr>
          <w:rFonts w:ascii="Century Gothic" w:hAnsi="Century Gothic"/>
          <w:sz w:val="20"/>
          <w:szCs w:val="20"/>
        </w:rPr>
        <w:t>”</w:t>
      </w:r>
      <w:r w:rsidR="00646743">
        <w:rPr>
          <w:rFonts w:ascii="Century Gothic" w:hAnsi="Century Gothic"/>
          <w:sz w:val="20"/>
          <w:szCs w:val="20"/>
        </w:rPr>
        <w:t>,</w:t>
      </w:r>
    </w:p>
    <w:p w14:paraId="7EB3B913" w14:textId="03729A94" w:rsidR="003D02A9" w:rsidRPr="00C813F6" w:rsidRDefault="00646743" w:rsidP="00646743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3D02A9" w:rsidRPr="00C813F6">
        <w:rPr>
          <w:rFonts w:ascii="Century Gothic" w:hAnsi="Century Gothic"/>
          <w:sz w:val="20"/>
          <w:szCs w:val="20"/>
        </w:rPr>
        <w:t>w</w:t>
      </w:r>
      <w:r>
        <w:rPr>
          <w:rFonts w:ascii="Century Gothic" w:hAnsi="Century Gothic"/>
          <w:sz w:val="20"/>
          <w:szCs w:val="20"/>
        </w:rPr>
        <w:t xml:space="preserve"> </w:t>
      </w:r>
      <w:r w:rsidR="003D02A9" w:rsidRPr="00C813F6">
        <w:rPr>
          <w:rFonts w:ascii="Century Gothic" w:hAnsi="Century Gothic"/>
          <w:sz w:val="20"/>
          <w:szCs w:val="20"/>
        </w:rPr>
        <w:t xml:space="preserve">ust. 2 </w:t>
      </w:r>
      <w:r>
        <w:rPr>
          <w:rFonts w:ascii="Century Gothic" w:hAnsi="Century Gothic"/>
          <w:sz w:val="20"/>
          <w:szCs w:val="20"/>
        </w:rPr>
        <w:t xml:space="preserve">w </w:t>
      </w:r>
      <w:r w:rsidR="003D02A9" w:rsidRPr="00C813F6">
        <w:rPr>
          <w:rFonts w:ascii="Century Gothic" w:hAnsi="Century Gothic"/>
          <w:sz w:val="20"/>
          <w:szCs w:val="20"/>
        </w:rPr>
        <w:t xml:space="preserve">pkt 4 </w:t>
      </w:r>
      <w:r w:rsidR="00831FF1" w:rsidRPr="00C813F6">
        <w:rPr>
          <w:rFonts w:ascii="Century Gothic" w:hAnsi="Century Gothic"/>
          <w:sz w:val="20"/>
          <w:szCs w:val="20"/>
        </w:rPr>
        <w:t>liczbę „160 152 672” zastępuje się liczbą „181 017 922”, liczbę „27,87” zastępuje się liczbą „27,51”</w:t>
      </w:r>
      <w:r>
        <w:rPr>
          <w:rFonts w:ascii="Century Gothic" w:hAnsi="Century Gothic"/>
          <w:sz w:val="20"/>
          <w:szCs w:val="20"/>
        </w:rPr>
        <w:t>,</w:t>
      </w:r>
      <w:r w:rsidR="00831FF1" w:rsidRPr="00C813F6">
        <w:rPr>
          <w:rFonts w:ascii="Century Gothic" w:hAnsi="Century Gothic"/>
          <w:sz w:val="20"/>
          <w:szCs w:val="20"/>
        </w:rPr>
        <w:t xml:space="preserve"> liczbę „29,04” zastępuje się liczbą „28,67”</w:t>
      </w:r>
      <w:r>
        <w:rPr>
          <w:rFonts w:ascii="Century Gothic" w:hAnsi="Century Gothic"/>
          <w:sz w:val="20"/>
          <w:szCs w:val="20"/>
        </w:rPr>
        <w:t>;</w:t>
      </w:r>
    </w:p>
    <w:p w14:paraId="0D4B8806" w14:textId="12BEE552" w:rsidR="00ED4296" w:rsidRPr="00187A8A" w:rsidRDefault="00831FF1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ED4296" w:rsidRPr="00187A8A">
        <w:rPr>
          <w:rFonts w:ascii="Century Gothic" w:hAnsi="Century Gothic"/>
          <w:sz w:val="20"/>
          <w:szCs w:val="20"/>
        </w:rPr>
        <w:t>) w art. 8:</w:t>
      </w:r>
    </w:p>
    <w:p w14:paraId="26F40243" w14:textId="5DD7B906" w:rsidR="00ED4296" w:rsidRDefault="00F53574" w:rsidP="00831FF1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ED4296" w:rsidRPr="00187A8A">
        <w:rPr>
          <w:rFonts w:ascii="Century Gothic" w:hAnsi="Century Gothic"/>
          <w:sz w:val="20"/>
          <w:szCs w:val="20"/>
        </w:rPr>
        <w:t xml:space="preserve">) </w:t>
      </w:r>
      <w:r w:rsidR="00831FF1">
        <w:rPr>
          <w:rFonts w:ascii="Century Gothic" w:hAnsi="Century Gothic"/>
          <w:sz w:val="20"/>
          <w:szCs w:val="20"/>
        </w:rPr>
        <w:t xml:space="preserve">w ust. 2 </w:t>
      </w:r>
      <w:r>
        <w:rPr>
          <w:rFonts w:ascii="Century Gothic" w:hAnsi="Century Gothic"/>
          <w:sz w:val="20"/>
          <w:szCs w:val="20"/>
        </w:rPr>
        <w:t>zdanie trzecie otrzymuje brzmienie:</w:t>
      </w:r>
    </w:p>
    <w:p w14:paraId="7F565374" w14:textId="5CD37820" w:rsidR="00F53574" w:rsidRPr="00187A8A" w:rsidRDefault="00F53574" w:rsidP="00831FF1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F53574">
        <w:rPr>
          <w:rFonts w:ascii="Century Gothic" w:hAnsi="Century Gothic"/>
          <w:sz w:val="20"/>
          <w:szCs w:val="20"/>
        </w:rPr>
        <w:t xml:space="preserve">Strona samorządowa może przeznaczyć na współfinansowanie krajowe tych przedsięwzięć część środków, o których mowa w </w:t>
      </w:r>
      <w:bookmarkStart w:id="1" w:name="_Hlk131507762"/>
      <w:r w:rsidRPr="00F53574">
        <w:rPr>
          <w:rFonts w:ascii="Century Gothic" w:hAnsi="Century Gothic"/>
          <w:sz w:val="20"/>
          <w:szCs w:val="20"/>
        </w:rPr>
        <w:t>art. 5 ust. 4 pkt 1</w:t>
      </w:r>
      <w:bookmarkEnd w:id="1"/>
      <w:r w:rsidRPr="00F53574">
        <w:rPr>
          <w:rFonts w:ascii="Century Gothic" w:hAnsi="Century Gothic"/>
          <w:sz w:val="20"/>
          <w:szCs w:val="20"/>
        </w:rPr>
        <w:t xml:space="preserve"> i 3.</w:t>
      </w:r>
      <w:r>
        <w:rPr>
          <w:rFonts w:ascii="Century Gothic" w:hAnsi="Century Gothic"/>
          <w:sz w:val="20"/>
          <w:szCs w:val="20"/>
        </w:rPr>
        <w:t>”</w:t>
      </w:r>
      <w:r w:rsidR="00646743">
        <w:rPr>
          <w:rFonts w:ascii="Century Gothic" w:hAnsi="Century Gothic"/>
          <w:sz w:val="20"/>
          <w:szCs w:val="20"/>
        </w:rPr>
        <w:t>,</w:t>
      </w:r>
    </w:p>
    <w:p w14:paraId="7A0785E6" w14:textId="1C86834A" w:rsidR="00ED4296" w:rsidRDefault="00F53574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ED4296" w:rsidRPr="00187A8A">
        <w:rPr>
          <w:rFonts w:ascii="Century Gothic" w:hAnsi="Century Gothic"/>
          <w:sz w:val="20"/>
          <w:szCs w:val="20"/>
        </w:rPr>
        <w:t xml:space="preserve">) </w:t>
      </w:r>
      <w:r>
        <w:rPr>
          <w:rFonts w:ascii="Century Gothic" w:hAnsi="Century Gothic"/>
          <w:sz w:val="20"/>
          <w:szCs w:val="20"/>
        </w:rPr>
        <w:t>ust.</w:t>
      </w:r>
      <w:r w:rsidR="0064674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4 otrzymuje brzmienie:</w:t>
      </w:r>
    </w:p>
    <w:p w14:paraId="2765FB02" w14:textId="692DD680" w:rsidR="00F53574" w:rsidRPr="00187A8A" w:rsidRDefault="00F53574" w:rsidP="00AF5636">
      <w:pPr>
        <w:spacing w:before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„4. </w:t>
      </w:r>
      <w:r w:rsidRPr="00F53574">
        <w:rPr>
          <w:rFonts w:ascii="Century Gothic" w:hAnsi="Century Gothic"/>
          <w:sz w:val="20"/>
          <w:szCs w:val="20"/>
        </w:rPr>
        <w:t>Strona samorządowa będzie dążyć do przeznaczenia w ramach Programu Regionalnego na działania związane z rozwojem obszarów wiejskich oraz powiązaniami miasto-wieś możliwie wysokiej kwoty, nie mniej niż 19,01% łącznie środków EFRR i EFS+, o których mowa w art. 5 ust. 1 pkt 1 i 2.</w:t>
      </w:r>
      <w:r>
        <w:rPr>
          <w:rFonts w:ascii="Century Gothic" w:hAnsi="Century Gothic"/>
          <w:sz w:val="20"/>
          <w:szCs w:val="20"/>
        </w:rPr>
        <w:t>”;</w:t>
      </w:r>
    </w:p>
    <w:p w14:paraId="0DA8C64A" w14:textId="31EA9B89" w:rsidR="00ED4296" w:rsidRPr="00187A8A" w:rsidRDefault="00AF563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ED4296" w:rsidRPr="00187A8A">
        <w:rPr>
          <w:rFonts w:ascii="Century Gothic" w:hAnsi="Century Gothic"/>
          <w:sz w:val="20"/>
          <w:szCs w:val="20"/>
        </w:rPr>
        <w:t>) w art. 10 dodaje się ust. 3 w brzmieniu:</w:t>
      </w:r>
    </w:p>
    <w:p w14:paraId="1ECBB092" w14:textId="77777777" w:rsidR="00ED4296" w:rsidRPr="00187A8A" w:rsidRDefault="00ED4296" w:rsidP="00ED4296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„3. Przedsięwzięcia priorytetowe, o których mowa w ust. 1, finansowane ze środków, o których mowa w art. 5 ust. 1 pkt 3, z wyłączeniem środków na pomoc techniczną, o których mowa w art. 5 ust. 3a, o wartości co najmniej 50 mln PLN lub równowartości tej kwoty wyrażonej w EUR, wybrane do realizacji w sposób niekonkurencyjny, mogą być realizowane po uzyskaniu uprzednio zgody Ministra i ujęciu w załączniku nr 10.”;</w:t>
      </w:r>
    </w:p>
    <w:p w14:paraId="1F887D3C" w14:textId="3D5D1A9B" w:rsidR="00E223A4" w:rsidRDefault="00E223A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7F6650">
        <w:rPr>
          <w:rFonts w:ascii="Century Gothic" w:hAnsi="Century Gothic"/>
          <w:sz w:val="20"/>
          <w:szCs w:val="20"/>
        </w:rPr>
        <w:t>9</w:t>
      </w:r>
      <w:r w:rsidR="00ED4296" w:rsidRPr="007F6650">
        <w:rPr>
          <w:rFonts w:ascii="Century Gothic" w:hAnsi="Century Gothic"/>
          <w:sz w:val="20"/>
          <w:szCs w:val="20"/>
        </w:rPr>
        <w:t xml:space="preserve">) </w:t>
      </w:r>
      <w:r w:rsidRPr="007F6650">
        <w:rPr>
          <w:rFonts w:ascii="Century Gothic" w:hAnsi="Century Gothic"/>
          <w:sz w:val="20"/>
          <w:szCs w:val="20"/>
        </w:rPr>
        <w:t xml:space="preserve">w art. 12 </w:t>
      </w:r>
      <w:r w:rsidR="009510EB" w:rsidRPr="007F6650">
        <w:rPr>
          <w:rFonts w:ascii="Century Gothic" w:hAnsi="Century Gothic"/>
          <w:sz w:val="20"/>
          <w:szCs w:val="20"/>
        </w:rPr>
        <w:t xml:space="preserve">w </w:t>
      </w:r>
      <w:r w:rsidRPr="007F6650">
        <w:rPr>
          <w:rFonts w:ascii="Century Gothic" w:hAnsi="Century Gothic"/>
          <w:sz w:val="20"/>
          <w:szCs w:val="20"/>
        </w:rPr>
        <w:t xml:space="preserve">ust. 1 w </w:t>
      </w:r>
      <w:r w:rsidR="00575C10" w:rsidRPr="007F6650">
        <w:rPr>
          <w:rFonts w:ascii="Century Gothic" w:hAnsi="Century Gothic"/>
          <w:sz w:val="20"/>
          <w:szCs w:val="20"/>
        </w:rPr>
        <w:t>wyrażeniu</w:t>
      </w:r>
      <w:r w:rsidRPr="007F6650">
        <w:rPr>
          <w:rFonts w:ascii="Century Gothic" w:hAnsi="Century Gothic"/>
          <w:sz w:val="20"/>
          <w:szCs w:val="20"/>
        </w:rPr>
        <w:t xml:space="preserve"> „EFRR lub EFS+” spójnik „lub” zastępuje się przecinkiem </w:t>
      </w:r>
      <w:r w:rsidR="00575C10" w:rsidRPr="007F6650">
        <w:rPr>
          <w:rFonts w:ascii="Century Gothic" w:hAnsi="Century Gothic"/>
          <w:sz w:val="20"/>
          <w:szCs w:val="20"/>
        </w:rPr>
        <w:t>i</w:t>
      </w:r>
      <w:r w:rsidRPr="007F6650">
        <w:rPr>
          <w:rFonts w:ascii="Century Gothic" w:hAnsi="Century Gothic"/>
          <w:sz w:val="20"/>
          <w:szCs w:val="20"/>
        </w:rPr>
        <w:t xml:space="preserve"> dodaje się wyrazy „</w:t>
      </w:r>
      <w:r w:rsidR="004466B8">
        <w:rPr>
          <w:rFonts w:ascii="Century Gothic" w:hAnsi="Century Gothic"/>
          <w:sz w:val="20"/>
          <w:szCs w:val="20"/>
        </w:rPr>
        <w:t>lub</w:t>
      </w:r>
      <w:r w:rsidRPr="007F6650">
        <w:rPr>
          <w:rFonts w:ascii="Century Gothic" w:hAnsi="Century Gothic"/>
          <w:sz w:val="20"/>
          <w:szCs w:val="20"/>
        </w:rPr>
        <w:t xml:space="preserve"> FST”;</w:t>
      </w:r>
    </w:p>
    <w:p w14:paraId="5AE01122" w14:textId="39EE3F0E" w:rsidR="006A4C55" w:rsidRDefault="00E223A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10) </w:t>
      </w:r>
      <w:r w:rsidRPr="00E223A4">
        <w:rPr>
          <w:rFonts w:ascii="Century Gothic" w:hAnsi="Century Gothic"/>
          <w:sz w:val="20"/>
          <w:szCs w:val="20"/>
        </w:rPr>
        <w:t>w art. 1</w:t>
      </w:r>
      <w:r>
        <w:rPr>
          <w:rFonts w:ascii="Century Gothic" w:hAnsi="Century Gothic"/>
          <w:sz w:val="20"/>
          <w:szCs w:val="20"/>
        </w:rPr>
        <w:t>3</w:t>
      </w:r>
      <w:r w:rsidR="006A4C55">
        <w:rPr>
          <w:rFonts w:ascii="Century Gothic" w:hAnsi="Century Gothic"/>
          <w:sz w:val="20"/>
          <w:szCs w:val="20"/>
        </w:rPr>
        <w:t xml:space="preserve"> </w:t>
      </w:r>
      <w:r w:rsidR="009510EB">
        <w:rPr>
          <w:rFonts w:ascii="Century Gothic" w:hAnsi="Century Gothic"/>
          <w:sz w:val="20"/>
          <w:szCs w:val="20"/>
        </w:rPr>
        <w:t xml:space="preserve">w </w:t>
      </w:r>
      <w:r w:rsidR="006A4C55">
        <w:rPr>
          <w:rFonts w:ascii="Century Gothic" w:hAnsi="Century Gothic"/>
          <w:sz w:val="20"/>
          <w:szCs w:val="20"/>
        </w:rPr>
        <w:t>ust. 1:</w:t>
      </w:r>
    </w:p>
    <w:p w14:paraId="4259D9BE" w14:textId="013D4E17" w:rsidR="00121389" w:rsidRDefault="006A4C55" w:rsidP="006A4C55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a)</w:t>
      </w:r>
      <w:r w:rsidR="00E223A4" w:rsidRPr="00E223A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 </w:t>
      </w:r>
      <w:r w:rsidR="00E223A4">
        <w:rPr>
          <w:rFonts w:ascii="Century Gothic" w:hAnsi="Century Gothic"/>
          <w:sz w:val="20"/>
          <w:szCs w:val="20"/>
        </w:rPr>
        <w:t>pkt 1</w:t>
      </w:r>
      <w:r w:rsidR="00121389">
        <w:rPr>
          <w:rFonts w:ascii="Century Gothic" w:hAnsi="Century Gothic"/>
          <w:sz w:val="20"/>
          <w:szCs w:val="20"/>
        </w:rPr>
        <w:t>:</w:t>
      </w:r>
    </w:p>
    <w:p w14:paraId="6CE8C5E4" w14:textId="23FD9A99" w:rsidR="00121389" w:rsidRDefault="00121389" w:rsidP="006A4C55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223A4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wyrażeniu</w:t>
      </w:r>
      <w:r w:rsidR="00E223A4">
        <w:rPr>
          <w:rFonts w:ascii="Century Gothic" w:hAnsi="Century Gothic"/>
          <w:sz w:val="20"/>
          <w:szCs w:val="20"/>
        </w:rPr>
        <w:t xml:space="preserve"> „EFRR </w:t>
      </w:r>
      <w:r>
        <w:rPr>
          <w:rFonts w:ascii="Century Gothic" w:hAnsi="Century Gothic"/>
          <w:sz w:val="20"/>
          <w:szCs w:val="20"/>
        </w:rPr>
        <w:t>i</w:t>
      </w:r>
      <w:r w:rsidR="00E223A4">
        <w:rPr>
          <w:rFonts w:ascii="Century Gothic" w:hAnsi="Century Gothic"/>
          <w:sz w:val="20"/>
          <w:szCs w:val="20"/>
        </w:rPr>
        <w:t xml:space="preserve"> EFS+” spójnik „i” zastępuje się przecinkiem </w:t>
      </w:r>
      <w:r>
        <w:rPr>
          <w:rFonts w:ascii="Century Gothic" w:hAnsi="Century Gothic"/>
          <w:sz w:val="20"/>
          <w:szCs w:val="20"/>
        </w:rPr>
        <w:t>i</w:t>
      </w:r>
      <w:r w:rsidR="00E223A4">
        <w:rPr>
          <w:rFonts w:ascii="Century Gothic" w:hAnsi="Century Gothic"/>
          <w:sz w:val="20"/>
          <w:szCs w:val="20"/>
        </w:rPr>
        <w:t xml:space="preserve"> dodaje się wyrazy „oraz FST”</w:t>
      </w:r>
      <w:r w:rsidR="006A4C55">
        <w:rPr>
          <w:rFonts w:ascii="Century Gothic" w:hAnsi="Century Gothic"/>
          <w:sz w:val="20"/>
          <w:szCs w:val="20"/>
        </w:rPr>
        <w:t>,</w:t>
      </w:r>
    </w:p>
    <w:p w14:paraId="76EA7DDA" w14:textId="4E39AF47" w:rsidR="00E223A4" w:rsidRDefault="00121389" w:rsidP="006A4C55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6A4C55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wyrażeniu</w:t>
      </w:r>
      <w:r w:rsidR="006A4C55">
        <w:rPr>
          <w:rFonts w:ascii="Century Gothic" w:hAnsi="Century Gothic"/>
          <w:sz w:val="20"/>
          <w:szCs w:val="20"/>
        </w:rPr>
        <w:t xml:space="preserve"> „</w:t>
      </w:r>
      <w:r w:rsidR="006A4C55" w:rsidRPr="006A4C55">
        <w:rPr>
          <w:rFonts w:ascii="Century Gothic" w:hAnsi="Century Gothic"/>
          <w:sz w:val="20"/>
          <w:szCs w:val="20"/>
        </w:rPr>
        <w:t>art. 5 ust. 2</w:t>
      </w:r>
      <w:r w:rsidR="006A4C55">
        <w:rPr>
          <w:rFonts w:ascii="Century Gothic" w:hAnsi="Century Gothic"/>
          <w:sz w:val="20"/>
          <w:szCs w:val="20"/>
        </w:rPr>
        <w:t xml:space="preserve"> i </w:t>
      </w:r>
      <w:r w:rsidR="006A4C55" w:rsidRPr="006A4C55">
        <w:rPr>
          <w:rFonts w:ascii="Century Gothic" w:hAnsi="Century Gothic"/>
          <w:sz w:val="20"/>
          <w:szCs w:val="20"/>
        </w:rPr>
        <w:t>3</w:t>
      </w:r>
      <w:r w:rsidR="006A4C55">
        <w:rPr>
          <w:rFonts w:ascii="Century Gothic" w:hAnsi="Century Gothic"/>
          <w:sz w:val="20"/>
          <w:szCs w:val="20"/>
        </w:rPr>
        <w:t xml:space="preserve">” spójnik „i” zastępuje się przecinkiem </w:t>
      </w:r>
      <w:r>
        <w:rPr>
          <w:rFonts w:ascii="Century Gothic" w:hAnsi="Century Gothic"/>
          <w:sz w:val="20"/>
          <w:szCs w:val="20"/>
        </w:rPr>
        <w:t>i</w:t>
      </w:r>
      <w:r w:rsidR="006A4C55">
        <w:rPr>
          <w:rFonts w:ascii="Century Gothic" w:hAnsi="Century Gothic"/>
          <w:sz w:val="20"/>
          <w:szCs w:val="20"/>
        </w:rPr>
        <w:t xml:space="preserve"> dodaje </w:t>
      </w:r>
      <w:r>
        <w:rPr>
          <w:rFonts w:ascii="Century Gothic" w:hAnsi="Century Gothic"/>
          <w:sz w:val="20"/>
          <w:szCs w:val="20"/>
        </w:rPr>
        <w:t>się wyrazy</w:t>
      </w:r>
      <w:r w:rsidR="006A4C55">
        <w:rPr>
          <w:rFonts w:ascii="Century Gothic" w:hAnsi="Century Gothic"/>
          <w:sz w:val="20"/>
          <w:szCs w:val="20"/>
        </w:rPr>
        <w:t xml:space="preserve"> „oraz 3a”,</w:t>
      </w:r>
    </w:p>
    <w:p w14:paraId="75D3E887" w14:textId="63CC827D" w:rsidR="00E223A4" w:rsidRDefault="006A4C55" w:rsidP="006A4C55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w pkt 2 </w:t>
      </w:r>
      <w:r w:rsidRPr="006A4C55">
        <w:rPr>
          <w:rFonts w:ascii="Century Gothic" w:hAnsi="Century Gothic"/>
          <w:sz w:val="20"/>
          <w:szCs w:val="20"/>
        </w:rPr>
        <w:t xml:space="preserve">w </w:t>
      </w:r>
      <w:r w:rsidR="00121389">
        <w:rPr>
          <w:rFonts w:ascii="Century Gothic" w:hAnsi="Century Gothic"/>
          <w:sz w:val="20"/>
          <w:szCs w:val="20"/>
        </w:rPr>
        <w:t xml:space="preserve">wyrażeniu </w:t>
      </w:r>
      <w:r w:rsidRPr="006A4C55">
        <w:rPr>
          <w:rFonts w:ascii="Century Gothic" w:hAnsi="Century Gothic"/>
          <w:sz w:val="20"/>
          <w:szCs w:val="20"/>
        </w:rPr>
        <w:t xml:space="preserve">„art. 5 ust. 2 i 3” spójnik „i” zastępuje się przecinkiem </w:t>
      </w:r>
      <w:r w:rsidR="00121389">
        <w:rPr>
          <w:rFonts w:ascii="Century Gothic" w:hAnsi="Century Gothic"/>
          <w:sz w:val="20"/>
          <w:szCs w:val="20"/>
        </w:rPr>
        <w:t>i dodaje się</w:t>
      </w:r>
      <w:r w:rsidRPr="006A4C55">
        <w:rPr>
          <w:rFonts w:ascii="Century Gothic" w:hAnsi="Century Gothic"/>
          <w:sz w:val="20"/>
          <w:szCs w:val="20"/>
        </w:rPr>
        <w:t xml:space="preserve"> </w:t>
      </w:r>
      <w:r w:rsidR="00121389">
        <w:rPr>
          <w:rFonts w:ascii="Century Gothic" w:hAnsi="Century Gothic"/>
          <w:sz w:val="20"/>
          <w:szCs w:val="20"/>
        </w:rPr>
        <w:t>wyrazy</w:t>
      </w:r>
      <w:r w:rsidRPr="006A4C55">
        <w:rPr>
          <w:rFonts w:ascii="Century Gothic" w:hAnsi="Century Gothic"/>
          <w:sz w:val="20"/>
          <w:szCs w:val="20"/>
        </w:rPr>
        <w:t xml:space="preserve"> „oraz 3a</w:t>
      </w:r>
      <w:r>
        <w:rPr>
          <w:rFonts w:ascii="Century Gothic" w:hAnsi="Century Gothic"/>
          <w:sz w:val="20"/>
          <w:szCs w:val="20"/>
        </w:rPr>
        <w:t>”;</w:t>
      </w:r>
    </w:p>
    <w:p w14:paraId="7D412A2C" w14:textId="05A4D83F" w:rsidR="00AB1701" w:rsidRDefault="006A4C55" w:rsidP="006A4C55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11) </w:t>
      </w:r>
      <w:r w:rsidR="00AB1701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art. 14</w:t>
      </w:r>
      <w:r w:rsidR="00AB1701">
        <w:rPr>
          <w:rFonts w:ascii="Century Gothic" w:hAnsi="Century Gothic"/>
          <w:sz w:val="20"/>
          <w:szCs w:val="20"/>
        </w:rPr>
        <w:t>:</w:t>
      </w:r>
    </w:p>
    <w:p w14:paraId="240D32AC" w14:textId="7382E167" w:rsidR="006A4C55" w:rsidRDefault="00AB1701" w:rsidP="00AB1701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6A4C55">
        <w:rPr>
          <w:rFonts w:ascii="Century Gothic" w:hAnsi="Century Gothic"/>
          <w:sz w:val="20"/>
          <w:szCs w:val="20"/>
        </w:rPr>
        <w:t>ust. 3</w:t>
      </w:r>
      <w:r w:rsidR="002E363A">
        <w:rPr>
          <w:rFonts w:ascii="Century Gothic" w:hAnsi="Century Gothic"/>
          <w:sz w:val="20"/>
          <w:szCs w:val="20"/>
        </w:rPr>
        <w:t>-6</w:t>
      </w:r>
      <w:r w:rsidR="006A4C55">
        <w:rPr>
          <w:rFonts w:ascii="Century Gothic" w:hAnsi="Century Gothic"/>
          <w:sz w:val="20"/>
          <w:szCs w:val="20"/>
        </w:rPr>
        <w:t xml:space="preserve"> </w:t>
      </w:r>
      <w:r w:rsidR="009510EB">
        <w:rPr>
          <w:rFonts w:ascii="Century Gothic" w:hAnsi="Century Gothic"/>
          <w:sz w:val="20"/>
          <w:szCs w:val="20"/>
        </w:rPr>
        <w:t>otrzymuj</w:t>
      </w:r>
      <w:r w:rsidR="002E363A">
        <w:rPr>
          <w:rFonts w:ascii="Century Gothic" w:hAnsi="Century Gothic"/>
          <w:sz w:val="20"/>
          <w:szCs w:val="20"/>
        </w:rPr>
        <w:t>ą</w:t>
      </w:r>
      <w:r w:rsidR="009510EB">
        <w:rPr>
          <w:rFonts w:ascii="Century Gothic" w:hAnsi="Century Gothic"/>
          <w:sz w:val="20"/>
          <w:szCs w:val="20"/>
        </w:rPr>
        <w:t xml:space="preserve"> brzmienie:</w:t>
      </w:r>
    </w:p>
    <w:p w14:paraId="7C5AF12E" w14:textId="5C1235AF" w:rsidR="009510EB" w:rsidRDefault="009510EB" w:rsidP="00AB1701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„3. </w:t>
      </w:r>
      <w:r w:rsidRPr="009510EB">
        <w:rPr>
          <w:rFonts w:ascii="Century Gothic" w:hAnsi="Century Gothic"/>
          <w:sz w:val="20"/>
          <w:szCs w:val="20"/>
        </w:rPr>
        <w:t xml:space="preserve">Instytucja wystawiająca zlecenie płatności jest zobowiązana do prowadzenia ewidencji płatności dokonanych w ramach Programu Regionalnego na rachunek beneficjentów, podmiotów upoważnionych przez beneficjentów lub wykonawców, oddzielnie w części finansowanej ze środków EFS+, </w:t>
      </w:r>
      <w:bookmarkStart w:id="2" w:name="_Hlk131509579"/>
      <w:r w:rsidRPr="009510EB">
        <w:rPr>
          <w:rFonts w:ascii="Century Gothic" w:hAnsi="Century Gothic"/>
          <w:sz w:val="20"/>
          <w:szCs w:val="20"/>
        </w:rPr>
        <w:t xml:space="preserve">oddzielnie w części finansowanej z EFRR </w:t>
      </w:r>
      <w:bookmarkEnd w:id="2"/>
      <w:r w:rsidRPr="009510EB">
        <w:rPr>
          <w:rFonts w:ascii="Century Gothic" w:hAnsi="Century Gothic"/>
          <w:sz w:val="20"/>
          <w:szCs w:val="20"/>
        </w:rPr>
        <w:t>oraz oddzielnie w części finansowanej z FST, między innymi na podstawie informacji otrzymywanych z Banku Gospodarstwa Krajowego</w:t>
      </w:r>
      <w:r>
        <w:rPr>
          <w:rFonts w:ascii="Century Gothic" w:hAnsi="Century Gothic"/>
          <w:sz w:val="20"/>
          <w:szCs w:val="20"/>
        </w:rPr>
        <w:t>.</w:t>
      </w:r>
    </w:p>
    <w:p w14:paraId="347E3FE7" w14:textId="41CA3209" w:rsidR="009510EB" w:rsidRDefault="009510EB" w:rsidP="005A1BC9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Pr="009510EB">
        <w:rPr>
          <w:rFonts w:ascii="Century Gothic" w:hAnsi="Century Gothic"/>
          <w:sz w:val="20"/>
          <w:szCs w:val="20"/>
        </w:rPr>
        <w:t>Instytucja Zarządzająca Programem Regionalnym prowadzi ewidencję płatności dokonanych na rzecz beneficjentów oraz wszelkich kwot odzyskanych i kwot do odzyskania w ramach Programu Regionalnego, oddzielnie w części finansowanej ze środków EFS+, oddzielnie w części finansowanej z EFRR oraz oddzielnie w części finansowanej z FST.</w:t>
      </w:r>
    </w:p>
    <w:p w14:paraId="7BA1B287" w14:textId="724C8A81" w:rsidR="009510EB" w:rsidRDefault="009510EB" w:rsidP="005A1BC9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</w:t>
      </w:r>
      <w:r w:rsidRPr="009510EB">
        <w:rPr>
          <w:rFonts w:ascii="Century Gothic" w:hAnsi="Century Gothic"/>
          <w:sz w:val="20"/>
          <w:szCs w:val="20"/>
        </w:rPr>
        <w:t>W oparciu o porozumienie/umowę, Instytucja Zarządzająca Programem Regionalnym zobowiązuje instytucję, której powierzyła zadania związane z podpisywaniem umów o dofinansowanie w ramach Programu Regionalnego, do prowadzenia ewidencji płatności dokonanych na rzecz beneficjentów oraz wszelkich kwot odzyskanych i kwot do odzyskania w ramach Programu Regionalnego, oddzielnie w części finansowanej ze środków EFS+, oddzielnie w części finansowanej z EFRR oraz oddzielnie w części finansowanej z FST.</w:t>
      </w:r>
    </w:p>
    <w:p w14:paraId="690E108A" w14:textId="7D6A6109" w:rsidR="009510EB" w:rsidRDefault="009510EB" w:rsidP="005A1BC9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3906F3">
        <w:rPr>
          <w:rFonts w:ascii="Century Gothic" w:hAnsi="Century Gothic"/>
          <w:sz w:val="20"/>
          <w:szCs w:val="20"/>
        </w:rPr>
        <w:t>6. Instytucja Zarządzająca Programem Regionalnym zobowiązuje się do monitorowania i rozliczenia płatności przekazanych na rachunek beneficjentów, podmiotów upoważnionych przez beneficjentów lub wykonawców, w formie zaliczki, oddzielnie w części finansowanej ze środków EFS+, oddzielnie w części finansowanej z EFRR oraz oddzielnie w części finansowanej z FST. Analogiczne postanowienia powinny zostać ujęte w porozumieniu/umowie zawartej między Instytucją Zarządzającą Programem Regionalnym a właściwą Instytucją Pośredniczącą.</w:t>
      </w:r>
      <w:r w:rsidR="00B72DB4" w:rsidRPr="003906F3">
        <w:rPr>
          <w:rFonts w:ascii="Century Gothic" w:hAnsi="Century Gothic"/>
          <w:sz w:val="20"/>
          <w:szCs w:val="20"/>
        </w:rPr>
        <w:t>”;</w:t>
      </w:r>
    </w:p>
    <w:p w14:paraId="1732269D" w14:textId="6ED8E2F3" w:rsidR="00B72DB4" w:rsidRDefault="00B72DB4" w:rsidP="003906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1</w:t>
      </w:r>
      <w:r w:rsidR="003906F3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)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 xml:space="preserve">art. 15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ust</w:t>
      </w:r>
      <w:r w:rsidR="003906F3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9 </w:t>
      </w:r>
      <w:r w:rsidR="00DB4854">
        <w:rPr>
          <w:rFonts w:ascii="Century Gothic" w:hAnsi="Century Gothic"/>
          <w:sz w:val="20"/>
          <w:szCs w:val="20"/>
        </w:rPr>
        <w:t xml:space="preserve">po wyrazach „środków z EFRR” spójnik „oraz” zastępuje się przecinkiem i </w:t>
      </w:r>
      <w:r w:rsidR="003906F3">
        <w:rPr>
          <w:rFonts w:ascii="Century Gothic" w:hAnsi="Century Gothic"/>
          <w:sz w:val="20"/>
          <w:szCs w:val="20"/>
        </w:rPr>
        <w:t xml:space="preserve">po wyrazach „środków z EFS+” dodaje się </w:t>
      </w:r>
      <w:r w:rsidR="002E6705">
        <w:rPr>
          <w:rFonts w:ascii="Century Gothic" w:hAnsi="Century Gothic"/>
          <w:sz w:val="20"/>
          <w:szCs w:val="20"/>
        </w:rPr>
        <w:t xml:space="preserve">przecinek i </w:t>
      </w:r>
      <w:r w:rsidR="003906F3">
        <w:rPr>
          <w:rFonts w:ascii="Century Gothic" w:hAnsi="Century Gothic"/>
          <w:sz w:val="20"/>
          <w:szCs w:val="20"/>
        </w:rPr>
        <w:t>wyrazy „oraz finansowanie wkładu krajowego, stanowiące uzupełnienie do środków z FST”;</w:t>
      </w:r>
    </w:p>
    <w:p w14:paraId="6F324918" w14:textId="782C9FEF" w:rsidR="00B72DB4" w:rsidRPr="00B72DB4" w:rsidRDefault="003906F3" w:rsidP="003906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13) </w:t>
      </w:r>
      <w:r w:rsidR="00B72DB4">
        <w:rPr>
          <w:rFonts w:ascii="Century Gothic" w:hAnsi="Century Gothic"/>
          <w:sz w:val="20"/>
          <w:szCs w:val="20"/>
        </w:rPr>
        <w:t xml:space="preserve">w art. 17 w ust. 2 </w:t>
      </w:r>
      <w:r w:rsidR="00B72DB4" w:rsidRPr="00B72DB4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wyrażeniu</w:t>
      </w:r>
      <w:r w:rsidR="00B72DB4" w:rsidRPr="00B72DB4">
        <w:rPr>
          <w:rFonts w:ascii="Century Gothic" w:hAnsi="Century Gothic"/>
          <w:sz w:val="20"/>
          <w:szCs w:val="20"/>
        </w:rPr>
        <w:t xml:space="preserve"> „EFRR </w:t>
      </w:r>
      <w:r w:rsidR="00B01F5F">
        <w:rPr>
          <w:rFonts w:ascii="Century Gothic" w:hAnsi="Century Gothic"/>
          <w:sz w:val="20"/>
          <w:szCs w:val="20"/>
        </w:rPr>
        <w:t>i</w:t>
      </w:r>
      <w:r w:rsidR="00B72DB4" w:rsidRPr="00B72DB4">
        <w:rPr>
          <w:rFonts w:ascii="Century Gothic" w:hAnsi="Century Gothic"/>
          <w:sz w:val="20"/>
          <w:szCs w:val="20"/>
        </w:rPr>
        <w:t xml:space="preserve"> EFS+” spójnik „i” zastępuje się przecinkiem </w:t>
      </w:r>
      <w:r>
        <w:rPr>
          <w:rFonts w:ascii="Century Gothic" w:hAnsi="Century Gothic"/>
          <w:sz w:val="20"/>
          <w:szCs w:val="20"/>
        </w:rPr>
        <w:t>i</w:t>
      </w:r>
      <w:r w:rsidR="00B72DB4" w:rsidRPr="00B72DB4">
        <w:rPr>
          <w:rFonts w:ascii="Century Gothic" w:hAnsi="Century Gothic"/>
          <w:sz w:val="20"/>
          <w:szCs w:val="20"/>
        </w:rPr>
        <w:t xml:space="preserve"> dodaje się wyrazy „oraz FST”</w:t>
      </w:r>
      <w:r w:rsidR="00B72DB4">
        <w:rPr>
          <w:rFonts w:ascii="Century Gothic" w:hAnsi="Century Gothic"/>
          <w:sz w:val="20"/>
          <w:szCs w:val="20"/>
        </w:rPr>
        <w:t>;</w:t>
      </w:r>
    </w:p>
    <w:p w14:paraId="0741808C" w14:textId="27F5A7C4" w:rsidR="00ED4296" w:rsidRPr="00187A8A" w:rsidRDefault="003A31C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3906F3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art. 18:</w:t>
      </w:r>
    </w:p>
    <w:p w14:paraId="3C2252B0" w14:textId="77777777" w:rsidR="003A31C0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3</w:t>
      </w:r>
      <w:r w:rsidR="003A31C0">
        <w:rPr>
          <w:rFonts w:ascii="Century Gothic" w:hAnsi="Century Gothic"/>
          <w:sz w:val="20"/>
          <w:szCs w:val="20"/>
        </w:rPr>
        <w:t>:</w:t>
      </w:r>
    </w:p>
    <w:p w14:paraId="76ED347A" w14:textId="23706138" w:rsidR="00ED4296" w:rsidRDefault="003A31C0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E363A">
        <w:rPr>
          <w:rFonts w:ascii="Century Gothic" w:hAnsi="Century Gothic"/>
          <w:sz w:val="20"/>
          <w:szCs w:val="20"/>
        </w:rPr>
        <w:t xml:space="preserve">we wprowadzeniu do wyliczenia </w:t>
      </w:r>
      <w:r w:rsidR="00ED4296" w:rsidRPr="00187A8A">
        <w:rPr>
          <w:rFonts w:ascii="Century Gothic" w:hAnsi="Century Gothic"/>
          <w:sz w:val="20"/>
          <w:szCs w:val="20"/>
        </w:rPr>
        <w:t>po wyrazie „alokacji” dodaje się wyrazy „i ustalonego za pomocą algorytmu, o którym mowa w załączniku nr 3</w:t>
      </w:r>
      <w:r w:rsidR="008450DA"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 xml:space="preserve"> do Kontraktu”,</w:t>
      </w:r>
    </w:p>
    <w:p w14:paraId="4B19BB0E" w14:textId="77777777" w:rsidR="004D6AA2" w:rsidRDefault="003A31C0" w:rsidP="003906F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pkt 1</w:t>
      </w:r>
      <w:r w:rsidR="003906F3" w:rsidRPr="003906F3">
        <w:rPr>
          <w:rFonts w:ascii="Century Gothic" w:hAnsi="Century Gothic"/>
          <w:sz w:val="20"/>
          <w:szCs w:val="20"/>
        </w:rPr>
        <w:t xml:space="preserve"> wprowadzeni</w:t>
      </w:r>
      <w:r w:rsidR="003906F3">
        <w:rPr>
          <w:rFonts w:ascii="Century Gothic" w:hAnsi="Century Gothic"/>
          <w:sz w:val="20"/>
          <w:szCs w:val="20"/>
        </w:rPr>
        <w:t>e</w:t>
      </w:r>
      <w:r w:rsidR="003906F3" w:rsidRPr="003906F3">
        <w:rPr>
          <w:rFonts w:ascii="Century Gothic" w:hAnsi="Century Gothic"/>
          <w:sz w:val="20"/>
          <w:szCs w:val="20"/>
        </w:rPr>
        <w:t xml:space="preserve"> do wyliczenia</w:t>
      </w:r>
      <w:r>
        <w:rPr>
          <w:rFonts w:ascii="Century Gothic" w:hAnsi="Century Gothic"/>
          <w:sz w:val="20"/>
          <w:szCs w:val="20"/>
        </w:rPr>
        <w:t xml:space="preserve"> otrzymuje</w:t>
      </w:r>
      <w:r w:rsidR="00101769">
        <w:rPr>
          <w:rFonts w:ascii="Century Gothic" w:hAnsi="Century Gothic"/>
          <w:sz w:val="20"/>
          <w:szCs w:val="20"/>
        </w:rPr>
        <w:t xml:space="preserve"> brzmienie:</w:t>
      </w:r>
    </w:p>
    <w:p w14:paraId="230D3518" w14:textId="23428CA1" w:rsidR="003A31C0" w:rsidRPr="003906F3" w:rsidRDefault="00101769" w:rsidP="003906F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3906F3">
        <w:rPr>
          <w:rFonts w:ascii="Century Gothic" w:hAnsi="Century Gothic"/>
          <w:sz w:val="20"/>
          <w:szCs w:val="20"/>
        </w:rPr>
        <w:t>„</w:t>
      </w:r>
      <w:r w:rsidR="003A31C0" w:rsidRPr="003906F3">
        <w:rPr>
          <w:rFonts w:ascii="Century Gothic" w:hAnsi="Century Gothic"/>
          <w:sz w:val="20"/>
          <w:szCs w:val="20"/>
        </w:rPr>
        <w:t>w przypadku środków, o których mowa w art. 5 ust. 4 pkt 1 i 3”</w:t>
      </w:r>
      <w:r w:rsidR="006636BB" w:rsidRPr="003906F3">
        <w:rPr>
          <w:rFonts w:ascii="Century Gothic" w:hAnsi="Century Gothic"/>
          <w:sz w:val="20"/>
          <w:szCs w:val="20"/>
        </w:rPr>
        <w:t>,</w:t>
      </w:r>
    </w:p>
    <w:p w14:paraId="05032050" w14:textId="48BA6C13" w:rsidR="00ED4296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b) w ust. 4 </w:t>
      </w:r>
      <w:r w:rsidR="003906F3">
        <w:rPr>
          <w:rFonts w:ascii="Century Gothic" w:hAnsi="Century Gothic"/>
          <w:sz w:val="20"/>
          <w:szCs w:val="20"/>
        </w:rPr>
        <w:t>po wyrazach</w:t>
      </w:r>
      <w:r w:rsidR="006636BB" w:rsidRPr="006636BB">
        <w:rPr>
          <w:rFonts w:ascii="Century Gothic" w:hAnsi="Century Gothic"/>
          <w:sz w:val="20"/>
          <w:szCs w:val="20"/>
        </w:rPr>
        <w:t xml:space="preserve"> „EFRR</w:t>
      </w:r>
      <w:r w:rsidR="003906F3">
        <w:rPr>
          <w:rFonts w:ascii="Century Gothic" w:hAnsi="Century Gothic"/>
          <w:sz w:val="20"/>
          <w:szCs w:val="20"/>
        </w:rPr>
        <w:t>,</w:t>
      </w:r>
      <w:r w:rsidR="006636BB" w:rsidRPr="006636BB">
        <w:rPr>
          <w:rFonts w:ascii="Century Gothic" w:hAnsi="Century Gothic"/>
          <w:sz w:val="20"/>
          <w:szCs w:val="20"/>
        </w:rPr>
        <w:t xml:space="preserve"> EFS+” </w:t>
      </w:r>
      <w:r w:rsidR="003906F3">
        <w:rPr>
          <w:rFonts w:ascii="Century Gothic" w:hAnsi="Century Gothic"/>
          <w:sz w:val="20"/>
          <w:szCs w:val="20"/>
        </w:rPr>
        <w:t xml:space="preserve">dodaje się </w:t>
      </w:r>
      <w:r w:rsidR="00EA4EEA">
        <w:rPr>
          <w:rFonts w:ascii="Century Gothic" w:hAnsi="Century Gothic"/>
          <w:sz w:val="20"/>
          <w:szCs w:val="20"/>
        </w:rPr>
        <w:t xml:space="preserve">wyrazy </w:t>
      </w:r>
      <w:r w:rsidR="006636BB" w:rsidRPr="006636BB">
        <w:rPr>
          <w:rFonts w:ascii="Century Gothic" w:hAnsi="Century Gothic"/>
          <w:sz w:val="20"/>
          <w:szCs w:val="20"/>
        </w:rPr>
        <w:t>„oraz FST</w:t>
      </w:r>
      <w:r w:rsidR="006636BB">
        <w:rPr>
          <w:rFonts w:ascii="Century Gothic" w:hAnsi="Century Gothic"/>
          <w:sz w:val="20"/>
          <w:szCs w:val="20"/>
        </w:rPr>
        <w:t>”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63FB576E" w14:textId="66F44E74" w:rsidR="00ED4296" w:rsidRPr="00EA4EEA" w:rsidRDefault="00EA4EEA" w:rsidP="00EA4EEA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</w:t>
      </w:r>
      <w:r w:rsidR="00ED4296" w:rsidRPr="00EA4EEA">
        <w:rPr>
          <w:rFonts w:ascii="Century Gothic" w:hAnsi="Century Gothic"/>
          <w:sz w:val="20"/>
          <w:szCs w:val="20"/>
        </w:rPr>
        <w:t xml:space="preserve">w ust. 5 i 6 </w:t>
      </w:r>
      <w:r w:rsidR="00C95E41" w:rsidRPr="00EA4EEA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 xml:space="preserve">wyrażeniu </w:t>
      </w:r>
      <w:r w:rsidR="00C95E41" w:rsidRPr="00EA4EEA">
        <w:rPr>
          <w:rFonts w:ascii="Century Gothic" w:hAnsi="Century Gothic"/>
          <w:sz w:val="20"/>
          <w:szCs w:val="20"/>
        </w:rPr>
        <w:t>„EFRR lub EFS+” s</w:t>
      </w:r>
      <w:r w:rsidR="00ED4296" w:rsidRPr="00EA4EEA">
        <w:rPr>
          <w:rFonts w:ascii="Century Gothic" w:hAnsi="Century Gothic"/>
          <w:sz w:val="20"/>
          <w:szCs w:val="20"/>
        </w:rPr>
        <w:t>pójnik „</w:t>
      </w:r>
      <w:r w:rsidR="00382635" w:rsidRPr="00EA4EEA">
        <w:rPr>
          <w:rFonts w:ascii="Century Gothic" w:hAnsi="Century Gothic"/>
          <w:sz w:val="20"/>
          <w:szCs w:val="20"/>
        </w:rPr>
        <w:t>lub</w:t>
      </w:r>
      <w:r w:rsidR="00ED4296" w:rsidRPr="00EA4EEA">
        <w:rPr>
          <w:rFonts w:ascii="Century Gothic" w:hAnsi="Century Gothic"/>
          <w:sz w:val="20"/>
          <w:szCs w:val="20"/>
        </w:rPr>
        <w:t>” zast</w:t>
      </w:r>
      <w:r w:rsidR="00382635" w:rsidRPr="00EA4EEA">
        <w:rPr>
          <w:rFonts w:ascii="Century Gothic" w:hAnsi="Century Gothic"/>
          <w:sz w:val="20"/>
          <w:szCs w:val="20"/>
        </w:rPr>
        <w:t xml:space="preserve">ępuje się przecinkiem </w:t>
      </w:r>
      <w:r>
        <w:rPr>
          <w:rFonts w:ascii="Century Gothic" w:hAnsi="Century Gothic"/>
          <w:sz w:val="20"/>
          <w:szCs w:val="20"/>
        </w:rPr>
        <w:t xml:space="preserve">i dodaje się </w:t>
      </w:r>
      <w:r w:rsidR="00382635" w:rsidRPr="00EA4EEA">
        <w:rPr>
          <w:rFonts w:ascii="Century Gothic" w:hAnsi="Century Gothic"/>
          <w:sz w:val="20"/>
          <w:szCs w:val="20"/>
        </w:rPr>
        <w:t>wyrazy w brzmieniu „lub FST”</w:t>
      </w:r>
      <w:r w:rsidR="00ED4296" w:rsidRPr="00EA4EEA">
        <w:rPr>
          <w:rFonts w:ascii="Century Gothic" w:hAnsi="Century Gothic"/>
          <w:sz w:val="20"/>
          <w:szCs w:val="20"/>
        </w:rPr>
        <w:t>,</w:t>
      </w:r>
    </w:p>
    <w:p w14:paraId="3C5603E8" w14:textId="11D9EE37" w:rsidR="00ED4296" w:rsidRPr="00187A8A" w:rsidRDefault="00EA4EEA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ED4296" w:rsidRPr="00187A8A">
        <w:rPr>
          <w:rFonts w:ascii="Century Gothic" w:hAnsi="Century Gothic"/>
          <w:sz w:val="20"/>
          <w:szCs w:val="20"/>
        </w:rPr>
        <w:t>) dodaje się ust. 8 w brzmieniu:</w:t>
      </w:r>
    </w:p>
    <w:p w14:paraId="4AE0B92B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„8. Przesunięcia środków z budżetu państwa w odniesieniu do środków pochodzących z EFRR i EFS+ są możliwe, o ile nie wpłynie to negatywnie na możliwość absorpcji środków odpowiednio z EFRR lub EFS+, i są dokonywane po uzgodnieniu przez Strony poprzez zmianę Kontraktu.”;</w:t>
      </w:r>
    </w:p>
    <w:p w14:paraId="6E7FD241" w14:textId="720E94A9" w:rsidR="00423CC9" w:rsidRDefault="00C95E41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EA4EEA"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19</w:t>
      </w:r>
      <w:r w:rsidR="00423CC9">
        <w:rPr>
          <w:rFonts w:ascii="Century Gothic" w:hAnsi="Century Gothic"/>
          <w:sz w:val="20"/>
          <w:szCs w:val="20"/>
        </w:rPr>
        <w:t>:</w:t>
      </w:r>
    </w:p>
    <w:p w14:paraId="2A2C70F4" w14:textId="70947E9B" w:rsidR="00ED4296" w:rsidRPr="00187A8A" w:rsidRDefault="00423CC9" w:rsidP="00423CC9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ED4296" w:rsidRPr="00187A8A">
        <w:rPr>
          <w:rFonts w:ascii="Century Gothic" w:hAnsi="Century Gothic"/>
          <w:sz w:val="20"/>
          <w:szCs w:val="20"/>
        </w:rPr>
        <w:t xml:space="preserve">w ust. 1: </w:t>
      </w:r>
    </w:p>
    <w:p w14:paraId="05F5FB50" w14:textId="67B66554" w:rsidR="00ED4296" w:rsidRPr="00187A8A" w:rsidRDefault="00423CC9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72668">
        <w:rPr>
          <w:rFonts w:ascii="Century Gothic" w:hAnsi="Century Gothic"/>
          <w:sz w:val="20"/>
          <w:szCs w:val="20"/>
        </w:rPr>
        <w:t>w</w:t>
      </w:r>
      <w:r w:rsidR="00434F1F">
        <w:rPr>
          <w:rFonts w:ascii="Century Gothic" w:hAnsi="Century Gothic"/>
          <w:sz w:val="20"/>
          <w:szCs w:val="20"/>
        </w:rPr>
        <w:t xml:space="preserve">e wprowadzeniu do wyliczenia </w:t>
      </w:r>
      <w:r w:rsidR="00272668" w:rsidRPr="00272668">
        <w:rPr>
          <w:rFonts w:ascii="Century Gothic" w:hAnsi="Century Gothic"/>
          <w:sz w:val="20"/>
          <w:szCs w:val="20"/>
        </w:rPr>
        <w:t xml:space="preserve">w </w:t>
      </w:r>
      <w:r w:rsidR="00EA4EEA">
        <w:rPr>
          <w:rFonts w:ascii="Century Gothic" w:hAnsi="Century Gothic"/>
          <w:sz w:val="20"/>
          <w:szCs w:val="20"/>
        </w:rPr>
        <w:t>wyrażeniu</w:t>
      </w:r>
      <w:r w:rsidR="00272668" w:rsidRPr="00272668">
        <w:rPr>
          <w:rFonts w:ascii="Century Gothic" w:hAnsi="Century Gothic"/>
          <w:sz w:val="20"/>
          <w:szCs w:val="20"/>
        </w:rPr>
        <w:t xml:space="preserve"> „EFRR lub EFS+” spójnik „lub” zastępuje się przecinkiem </w:t>
      </w:r>
      <w:r w:rsidR="00EA4EEA">
        <w:rPr>
          <w:rFonts w:ascii="Century Gothic" w:hAnsi="Century Gothic"/>
          <w:sz w:val="20"/>
          <w:szCs w:val="20"/>
        </w:rPr>
        <w:t>i</w:t>
      </w:r>
      <w:r w:rsidR="00272668" w:rsidRPr="00272668">
        <w:rPr>
          <w:rFonts w:ascii="Century Gothic" w:hAnsi="Century Gothic"/>
          <w:sz w:val="20"/>
          <w:szCs w:val="20"/>
        </w:rPr>
        <w:t xml:space="preserve"> dodaje </w:t>
      </w:r>
      <w:r w:rsidR="00EA4EEA">
        <w:rPr>
          <w:rFonts w:ascii="Century Gothic" w:hAnsi="Century Gothic"/>
          <w:sz w:val="20"/>
          <w:szCs w:val="20"/>
        </w:rPr>
        <w:t xml:space="preserve">się wyrazy </w:t>
      </w:r>
      <w:r w:rsidR="00272668" w:rsidRPr="00272668">
        <w:rPr>
          <w:rFonts w:ascii="Century Gothic" w:hAnsi="Century Gothic"/>
          <w:sz w:val="20"/>
          <w:szCs w:val="20"/>
        </w:rPr>
        <w:t>w brzmieniu „lub FST”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48B6E828" w14:textId="080E37B0" w:rsidR="00ED4296" w:rsidRDefault="00423CC9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187A8A">
        <w:rPr>
          <w:rFonts w:ascii="Century Gothic" w:hAnsi="Century Gothic"/>
          <w:sz w:val="20"/>
          <w:szCs w:val="20"/>
        </w:rPr>
        <w:t>pkt 5</w:t>
      </w:r>
      <w:r w:rsidR="00272668">
        <w:rPr>
          <w:rFonts w:ascii="Century Gothic" w:hAnsi="Century Gothic"/>
          <w:sz w:val="20"/>
          <w:szCs w:val="20"/>
        </w:rPr>
        <w:t xml:space="preserve"> otrzymuje brzmienie:</w:t>
      </w:r>
    </w:p>
    <w:p w14:paraId="6B1C231C" w14:textId="21351B0D" w:rsidR="00272668" w:rsidRDefault="00272668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„5) </w:t>
      </w:r>
      <w:r w:rsidRPr="00272668">
        <w:rPr>
          <w:rFonts w:ascii="Century Gothic" w:hAnsi="Century Gothic"/>
          <w:sz w:val="20"/>
          <w:szCs w:val="20"/>
        </w:rPr>
        <w:t xml:space="preserve">stopień wykorzystania środków EFRR, EFS+ lub FST (z uwzględnieniem finansowania FST z </w:t>
      </w:r>
      <w:proofErr w:type="spellStart"/>
      <w:r w:rsidRPr="00272668">
        <w:rPr>
          <w:rFonts w:ascii="Century Gothic" w:hAnsi="Century Gothic"/>
          <w:sz w:val="20"/>
          <w:szCs w:val="20"/>
        </w:rPr>
        <w:t>NextGenerationEU</w:t>
      </w:r>
      <w:proofErr w:type="spellEnd"/>
      <w:r w:rsidRPr="00272668">
        <w:rPr>
          <w:rFonts w:ascii="Century Gothic" w:hAnsi="Century Gothic"/>
          <w:sz w:val="20"/>
          <w:szCs w:val="20"/>
        </w:rPr>
        <w:t xml:space="preserve"> oraz wieloletnich ram finansowych) wskazuje na ryzyko niewykonania postanowień, o których mowa w art. 7 ust. 2</w:t>
      </w:r>
      <w:r>
        <w:rPr>
          <w:rFonts w:ascii="Century Gothic" w:hAnsi="Century Gothic"/>
          <w:sz w:val="20"/>
          <w:szCs w:val="20"/>
        </w:rPr>
        <w:t>,”</w:t>
      </w:r>
      <w:r w:rsidR="00EA4EEA">
        <w:rPr>
          <w:rFonts w:ascii="Century Gothic" w:hAnsi="Century Gothic"/>
          <w:sz w:val="20"/>
          <w:szCs w:val="20"/>
        </w:rPr>
        <w:t>,</w:t>
      </w:r>
    </w:p>
    <w:p w14:paraId="2F106CE7" w14:textId="5CADE10D" w:rsidR="00423CC9" w:rsidRPr="00187A8A" w:rsidRDefault="00423CC9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w ust. 3 po wyrazach „środków EFS+” </w:t>
      </w:r>
      <w:r w:rsidR="00EA4EEA">
        <w:rPr>
          <w:rFonts w:ascii="Century Gothic" w:hAnsi="Century Gothic"/>
          <w:sz w:val="20"/>
          <w:szCs w:val="20"/>
        </w:rPr>
        <w:t>dodaje</w:t>
      </w:r>
      <w:r>
        <w:rPr>
          <w:rFonts w:ascii="Century Gothic" w:hAnsi="Century Gothic"/>
          <w:sz w:val="20"/>
          <w:szCs w:val="20"/>
        </w:rPr>
        <w:t xml:space="preserve"> się przecinek </w:t>
      </w:r>
      <w:r w:rsidR="00EA4EEA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wyrazy „środków FST”;</w:t>
      </w:r>
    </w:p>
    <w:p w14:paraId="2BF513EF" w14:textId="6460229B" w:rsidR="00ED4296" w:rsidRDefault="00EA4EE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16</w:t>
      </w:r>
      <w:r w:rsidR="00ED4296" w:rsidRPr="00187A8A">
        <w:rPr>
          <w:rFonts w:ascii="Century Gothic" w:hAnsi="Century Gothic"/>
          <w:sz w:val="20"/>
          <w:szCs w:val="20"/>
        </w:rPr>
        <w:t xml:space="preserve">) w art. 20 </w:t>
      </w:r>
      <w:r w:rsidR="0055176F">
        <w:rPr>
          <w:rFonts w:ascii="Century Gothic" w:hAnsi="Century Gothic"/>
          <w:sz w:val="20"/>
          <w:szCs w:val="20"/>
        </w:rPr>
        <w:t>dodaje się ust. 4 w brzmieniu:</w:t>
      </w:r>
    </w:p>
    <w:p w14:paraId="36D88A07" w14:textId="63B8C1C2" w:rsidR="0055176F" w:rsidRPr="00187A8A" w:rsidRDefault="0055176F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„4. </w:t>
      </w:r>
      <w:r w:rsidRPr="0055176F">
        <w:rPr>
          <w:rFonts w:ascii="Century Gothic" w:hAnsi="Century Gothic"/>
          <w:sz w:val="20"/>
          <w:szCs w:val="20"/>
        </w:rPr>
        <w:t xml:space="preserve">Minister oraz Strona samorządowa obligatoryjnie uczestniczyć będą w pracach Rady do spraw Sprawiedliwej Transformacji, która zgodnie z Umową Partnerstwa powołana zostanie w </w:t>
      </w:r>
      <w:r w:rsidRPr="0055176F">
        <w:rPr>
          <w:rFonts w:ascii="Century Gothic" w:hAnsi="Century Gothic"/>
          <w:sz w:val="20"/>
          <w:szCs w:val="20"/>
        </w:rPr>
        <w:lastRenderedPageBreak/>
        <w:t>formie Podkomitetu do spraw koordynacji finansowania transformacji energetycznej w ramach Komitetu do spraw Umowy Partnerstwa.</w:t>
      </w:r>
      <w:r>
        <w:rPr>
          <w:rFonts w:ascii="Century Gothic" w:hAnsi="Century Gothic"/>
          <w:sz w:val="20"/>
          <w:szCs w:val="20"/>
        </w:rPr>
        <w:t>”;</w:t>
      </w:r>
    </w:p>
    <w:p w14:paraId="77E02C62" w14:textId="78EFC601" w:rsidR="006E0784" w:rsidRDefault="00ED4296" w:rsidP="006E0784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1</w:t>
      </w:r>
      <w:r w:rsidR="00EA4EEA">
        <w:rPr>
          <w:rFonts w:ascii="Century Gothic" w:hAnsi="Century Gothic"/>
          <w:sz w:val="20"/>
          <w:szCs w:val="20"/>
        </w:rPr>
        <w:t>7</w:t>
      </w:r>
      <w:r w:rsidRPr="00187A8A">
        <w:rPr>
          <w:rFonts w:ascii="Century Gothic" w:hAnsi="Century Gothic"/>
          <w:sz w:val="20"/>
          <w:szCs w:val="20"/>
        </w:rPr>
        <w:t>) w art. 22</w:t>
      </w:r>
      <w:r w:rsidR="006E0784">
        <w:rPr>
          <w:rFonts w:ascii="Century Gothic" w:hAnsi="Century Gothic"/>
          <w:sz w:val="20"/>
          <w:szCs w:val="20"/>
        </w:rPr>
        <w:t xml:space="preserve"> w ust. 1:</w:t>
      </w:r>
    </w:p>
    <w:p w14:paraId="688F7D2C" w14:textId="3F007EF9" w:rsidR="001D42E7" w:rsidRDefault="006E0784" w:rsidP="001D42E7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1D42E7">
        <w:rPr>
          <w:rFonts w:ascii="Century Gothic" w:hAnsi="Century Gothic"/>
          <w:sz w:val="20"/>
          <w:szCs w:val="20"/>
        </w:rPr>
        <w:t>w pkt. 1 wyrażenie „EFRR, jak i EFS+” zastępuje się wyrażeniem „</w:t>
      </w:r>
      <w:r w:rsidR="001D42E7" w:rsidRPr="001D42E7">
        <w:rPr>
          <w:rFonts w:ascii="Century Gothic" w:hAnsi="Century Gothic"/>
          <w:sz w:val="20"/>
          <w:szCs w:val="20"/>
        </w:rPr>
        <w:t>EFRR, EFS+ oraz FST</w:t>
      </w:r>
      <w:r w:rsidR="001D42E7">
        <w:rPr>
          <w:rFonts w:ascii="Century Gothic" w:hAnsi="Century Gothic"/>
          <w:sz w:val="20"/>
          <w:szCs w:val="20"/>
        </w:rPr>
        <w:t>”,</w:t>
      </w:r>
    </w:p>
    <w:p w14:paraId="740A83A6" w14:textId="1A0C0C65" w:rsidR="00ED4296" w:rsidRPr="00187A8A" w:rsidRDefault="006E0784" w:rsidP="001D42E7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ED4296" w:rsidRPr="00187A8A">
        <w:rPr>
          <w:rFonts w:ascii="Century Gothic" w:hAnsi="Century Gothic"/>
          <w:sz w:val="20"/>
          <w:szCs w:val="20"/>
        </w:rPr>
        <w:t>pkt 5 i 6 otrzymują brzmienie:</w:t>
      </w:r>
    </w:p>
    <w:p w14:paraId="5269709D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„5) bieżącego gromadzenia i aktualizowania danych dotyczących projektów dofinansowanych z Programu Regionalnego w zakresie wynikającym z wytycznych dotyczących systemu informacji i promocji w zakresie programów;</w:t>
      </w:r>
    </w:p>
    <w:p w14:paraId="321213DF" w14:textId="5B4434CA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6) zawarcia w porozumieniach lub umowach z instytucjami pośredniczącymi lub wdrażającymi oraz we wzorach umów o dofinansowanie zapisów zapewniających realizację działań informacyjnych i promocyjnych, o których mowa w pkt. 1-5</w:t>
      </w:r>
      <w:r w:rsidR="006E0784">
        <w:rPr>
          <w:rFonts w:ascii="Century Gothic" w:hAnsi="Century Gothic"/>
          <w:sz w:val="20"/>
          <w:szCs w:val="20"/>
        </w:rPr>
        <w:t>,</w:t>
      </w:r>
      <w:r w:rsidRPr="00187A8A">
        <w:rPr>
          <w:rFonts w:ascii="Century Gothic" w:hAnsi="Century Gothic"/>
          <w:sz w:val="20"/>
          <w:szCs w:val="20"/>
        </w:rPr>
        <w:t xml:space="preserve"> oraz wytycznych dotyczących systemu informacji i promocji w zakresie programów.”;</w:t>
      </w:r>
    </w:p>
    <w:p w14:paraId="7A912DDF" w14:textId="37D4831C" w:rsidR="00ED4296" w:rsidRPr="00187A8A" w:rsidRDefault="006E078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18</w:t>
      </w:r>
      <w:r w:rsidR="00ED4296" w:rsidRPr="00187A8A">
        <w:rPr>
          <w:rFonts w:ascii="Century Gothic" w:hAnsi="Century Gothic"/>
          <w:sz w:val="20"/>
          <w:szCs w:val="20"/>
        </w:rPr>
        <w:t>) w art. 29:</w:t>
      </w:r>
    </w:p>
    <w:p w14:paraId="2E99B860" w14:textId="77777777" w:rsidR="00ED4296" w:rsidRPr="00187A8A" w:rsidRDefault="00ED4296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1:</w:t>
      </w:r>
    </w:p>
    <w:p w14:paraId="503EAE94" w14:textId="77777777" w:rsidR="006E0784" w:rsidRDefault="00ED4296" w:rsidP="00246DDD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- </w:t>
      </w:r>
      <w:r w:rsidR="00246DDD">
        <w:rPr>
          <w:rFonts w:ascii="Century Gothic" w:hAnsi="Century Gothic"/>
          <w:sz w:val="20"/>
          <w:szCs w:val="20"/>
        </w:rPr>
        <w:t xml:space="preserve">pkt 32 </w:t>
      </w:r>
      <w:r w:rsidR="006E0784">
        <w:rPr>
          <w:rFonts w:ascii="Century Gothic" w:hAnsi="Century Gothic"/>
          <w:sz w:val="20"/>
          <w:szCs w:val="20"/>
        </w:rPr>
        <w:t>otrzymuje brzmienie:</w:t>
      </w:r>
    </w:p>
    <w:p w14:paraId="49FFEEA7" w14:textId="123A72D2" w:rsidR="00246DDD" w:rsidRDefault="006E0784" w:rsidP="00246DDD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„32) Załącznik nr 32 – Algorytm przeliczania środków EFRR, EFS+ oraz FST;”</w:t>
      </w:r>
    </w:p>
    <w:p w14:paraId="5B02BC34" w14:textId="6F7837B0" w:rsidR="00ED4296" w:rsidRPr="00187A8A" w:rsidRDefault="00246DDD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- </w:t>
      </w:r>
      <w:r w:rsidR="00ED4296" w:rsidRPr="00187A8A">
        <w:rPr>
          <w:rFonts w:ascii="Century Gothic" w:hAnsi="Century Gothic"/>
          <w:sz w:val="20"/>
          <w:szCs w:val="20"/>
        </w:rPr>
        <w:t>dodaje się pkt 3</w:t>
      </w:r>
      <w:r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 xml:space="preserve"> w brzmieniu:</w:t>
      </w:r>
    </w:p>
    <w:p w14:paraId="12FAF288" w14:textId="081B7370" w:rsidR="00ED4296" w:rsidRPr="00187A8A" w:rsidRDefault="00ED4296" w:rsidP="00ED4296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</w:t>
      </w:r>
      <w:r w:rsidR="00246DDD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>) Załącznik nr 3</w:t>
      </w:r>
      <w:r w:rsidR="00246DDD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</w:t>
      </w:r>
      <w:r w:rsidRPr="00187A8A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EFRR, EFS+ oraz FST</w:t>
      </w:r>
      <w:r w:rsidR="006E0784">
        <w:rPr>
          <w:rFonts w:ascii="Century Gothic" w:hAnsi="Century Gothic"/>
          <w:sz w:val="20"/>
          <w:szCs w:val="20"/>
        </w:rPr>
        <w:t>.”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40370480" w14:textId="6EB68BDB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b) w ust. 2 po liczbie „32” spójnik „i” zastępuje się przecinkiem i po liczbie „33” dodaje się wyrazy „oraz 3</w:t>
      </w:r>
      <w:r w:rsidR="00246DDD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>”;</w:t>
      </w:r>
    </w:p>
    <w:p w14:paraId="19B48C14" w14:textId="5761EB94" w:rsidR="00ED4296" w:rsidRPr="00187A8A" w:rsidRDefault="007F665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19</w:t>
      </w:r>
      <w:r w:rsidR="00ED4296" w:rsidRPr="00187A8A">
        <w:rPr>
          <w:rFonts w:ascii="Century Gothic" w:hAnsi="Century Gothic"/>
          <w:sz w:val="20"/>
          <w:szCs w:val="20"/>
        </w:rPr>
        <w:t>) przypis 8 otrzymuje brzmienie:</w:t>
      </w:r>
    </w:p>
    <w:p w14:paraId="3E6E8C1F" w14:textId="77777777" w:rsidR="00ED4296" w:rsidRPr="00187A8A" w:rsidRDefault="00ED4296" w:rsidP="00ED4296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</w:t>
      </w:r>
      <w:r w:rsidRPr="00187A8A">
        <w:rPr>
          <w:rFonts w:ascii="Century Gothic" w:hAnsi="Century Gothic"/>
          <w:sz w:val="20"/>
          <w:szCs w:val="20"/>
          <w:vertAlign w:val="superscript"/>
        </w:rPr>
        <w:t>8</w:t>
      </w:r>
      <w:r w:rsidRPr="00187A8A">
        <w:rPr>
          <w:rFonts w:ascii="Century Gothic" w:hAnsi="Century Gothic"/>
          <w:sz w:val="20"/>
          <w:szCs w:val="20"/>
        </w:rPr>
        <w:t xml:space="preserve"> „Linia demarkacyjna. Podział interwencji i zasad wdrażania programów krajowych i regionalnych w perspektywie finansowej na lata 2021-2027”, zatwierdzona przez ministra właściwego do spraw rozwoju regionalnego w dniu 20 września 2022 r.””;</w:t>
      </w:r>
    </w:p>
    <w:p w14:paraId="32024539" w14:textId="0675FBD2" w:rsidR="00ED4296" w:rsidRDefault="00246DDD" w:rsidP="00246DD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7F6650">
        <w:rPr>
          <w:rFonts w:ascii="Century Gothic" w:hAnsi="Century Gothic"/>
          <w:sz w:val="20"/>
          <w:szCs w:val="20"/>
        </w:rPr>
        <w:t>0</w:t>
      </w:r>
      <w:r w:rsidR="00ED4296" w:rsidRPr="00246DDD">
        <w:rPr>
          <w:rFonts w:ascii="Century Gothic" w:hAnsi="Century Gothic"/>
          <w:sz w:val="20"/>
          <w:szCs w:val="20"/>
        </w:rPr>
        <w:t xml:space="preserve">) załączniki nr 1, </w:t>
      </w:r>
      <w:r w:rsidR="00F76D1B">
        <w:rPr>
          <w:rFonts w:ascii="Century Gothic" w:hAnsi="Century Gothic"/>
          <w:sz w:val="20"/>
          <w:szCs w:val="20"/>
        </w:rPr>
        <w:t xml:space="preserve">3, </w:t>
      </w:r>
      <w:r w:rsidR="00ED4296" w:rsidRPr="00246DDD">
        <w:rPr>
          <w:rFonts w:ascii="Century Gothic" w:hAnsi="Century Gothic"/>
          <w:sz w:val="20"/>
          <w:szCs w:val="20"/>
        </w:rPr>
        <w:t xml:space="preserve">10, </w:t>
      </w:r>
      <w:r w:rsidR="00F76D1B">
        <w:rPr>
          <w:rFonts w:ascii="Century Gothic" w:hAnsi="Century Gothic"/>
          <w:sz w:val="20"/>
          <w:szCs w:val="20"/>
        </w:rPr>
        <w:t>31,</w:t>
      </w:r>
      <w:r w:rsidR="005D12EF">
        <w:rPr>
          <w:rFonts w:ascii="Century Gothic" w:hAnsi="Century Gothic"/>
          <w:sz w:val="20"/>
          <w:szCs w:val="20"/>
        </w:rPr>
        <w:t xml:space="preserve"> 32, </w:t>
      </w:r>
      <w:r w:rsidR="00ED4296" w:rsidRPr="005D12EF">
        <w:rPr>
          <w:rFonts w:ascii="Century Gothic" w:hAnsi="Century Gothic"/>
          <w:sz w:val="20"/>
          <w:szCs w:val="20"/>
        </w:rPr>
        <w:t>33</w:t>
      </w:r>
      <w:r w:rsidR="00ED4296" w:rsidRPr="00246DDD">
        <w:rPr>
          <w:rFonts w:ascii="Century Gothic" w:hAnsi="Century Gothic"/>
          <w:sz w:val="20"/>
          <w:szCs w:val="20"/>
        </w:rPr>
        <w:t xml:space="preserve"> i 3</w:t>
      </w:r>
      <w:r w:rsidR="00F76D1B">
        <w:rPr>
          <w:rFonts w:ascii="Century Gothic" w:hAnsi="Century Gothic"/>
          <w:sz w:val="20"/>
          <w:szCs w:val="20"/>
        </w:rPr>
        <w:t>5</w:t>
      </w:r>
      <w:r w:rsidR="00ED4296" w:rsidRPr="00246DDD">
        <w:rPr>
          <w:rFonts w:ascii="Century Gothic" w:hAnsi="Century Gothic"/>
          <w:sz w:val="20"/>
          <w:szCs w:val="20"/>
        </w:rPr>
        <w:t xml:space="preserve"> do Kontraktu Programowego dla Województwa </w:t>
      </w:r>
      <w:r w:rsidR="00F76D1B">
        <w:rPr>
          <w:rFonts w:ascii="Century Gothic" w:hAnsi="Century Gothic"/>
          <w:sz w:val="20"/>
          <w:szCs w:val="20"/>
        </w:rPr>
        <w:t>Łódzkiego</w:t>
      </w:r>
      <w:r w:rsidR="00ED4296" w:rsidRPr="00246DDD">
        <w:rPr>
          <w:rFonts w:ascii="Century Gothic" w:hAnsi="Century Gothic"/>
          <w:sz w:val="20"/>
          <w:szCs w:val="20"/>
        </w:rPr>
        <w:t xml:space="preserve"> otrzymują brzmienie określone w załącznikach nr 1-</w:t>
      </w:r>
      <w:r w:rsidR="005D12EF">
        <w:rPr>
          <w:rFonts w:ascii="Century Gothic" w:hAnsi="Century Gothic"/>
          <w:sz w:val="20"/>
          <w:szCs w:val="20"/>
        </w:rPr>
        <w:t>7</w:t>
      </w:r>
      <w:r w:rsidR="00ED4296" w:rsidRPr="00246DDD">
        <w:rPr>
          <w:rFonts w:ascii="Century Gothic" w:hAnsi="Century Gothic"/>
          <w:sz w:val="20"/>
          <w:szCs w:val="20"/>
        </w:rPr>
        <w:t xml:space="preserve"> do Aneksu.</w:t>
      </w:r>
    </w:p>
    <w:p w14:paraId="774A4A94" w14:textId="77777777" w:rsidR="00FB3983" w:rsidRDefault="00FB3983" w:rsidP="00246DD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09057E38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2</w:t>
      </w:r>
    </w:p>
    <w:p w14:paraId="32C7D7E7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Integralną część Aneksu stanowią załączniki:</w:t>
      </w:r>
    </w:p>
    <w:p w14:paraId="37B27D2E" w14:textId="08DAEFBC" w:rsidR="00ED4296" w:rsidRPr="0001196F" w:rsidRDefault="006712AB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1) </w:t>
      </w:r>
      <w:r w:rsidR="00ED4296" w:rsidRPr="0001196F">
        <w:rPr>
          <w:rFonts w:ascii="Century Gothic" w:hAnsi="Century Gothic"/>
          <w:sz w:val="20"/>
          <w:szCs w:val="20"/>
        </w:rPr>
        <w:t>Załącznik nr 1 – Podział kwoty Funduszu Pracy na kolejne lata wdrażania projektów;</w:t>
      </w:r>
    </w:p>
    <w:p w14:paraId="55791365" w14:textId="6F22BB83" w:rsidR="00ED4296" w:rsidRPr="0001196F" w:rsidRDefault="00ED4296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lastRenderedPageBreak/>
        <w:t xml:space="preserve">2) Załącznik nr 2 – </w:t>
      </w:r>
      <w:r w:rsidR="0001196F" w:rsidRPr="0001196F">
        <w:rPr>
          <w:rFonts w:ascii="Century Gothic" w:hAnsi="Century Gothic"/>
          <w:bCs/>
          <w:sz w:val="20"/>
          <w:szCs w:val="20"/>
        </w:rPr>
        <w:t>Katalog odstępstw Programu Regionalnego od linii demarkacyjnej</w:t>
      </w:r>
      <w:r w:rsidRPr="0001196F">
        <w:rPr>
          <w:rFonts w:ascii="Century Gothic" w:hAnsi="Century Gothic"/>
          <w:sz w:val="20"/>
          <w:szCs w:val="20"/>
        </w:rPr>
        <w:t>;</w:t>
      </w:r>
    </w:p>
    <w:p w14:paraId="534E3907" w14:textId="170AEDE4" w:rsidR="0001196F" w:rsidRDefault="0001196F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3) Załącznik nr 3 </w:t>
      </w:r>
      <w:r w:rsidR="006E0784">
        <w:rPr>
          <w:rFonts w:ascii="Century Gothic" w:hAnsi="Century Gothic"/>
          <w:sz w:val="20"/>
          <w:szCs w:val="20"/>
        </w:rPr>
        <w:t>–</w:t>
      </w:r>
      <w:r w:rsidRPr="0001196F">
        <w:rPr>
          <w:rFonts w:ascii="Century Gothic" w:hAnsi="Century Gothic"/>
          <w:sz w:val="20"/>
          <w:szCs w:val="20"/>
        </w:rPr>
        <w:t xml:space="preserve"> </w:t>
      </w:r>
      <w:r w:rsidRPr="0001196F">
        <w:rPr>
          <w:rFonts w:ascii="Century Gothic" w:hAnsi="Century Gothic"/>
          <w:bCs/>
          <w:sz w:val="20"/>
          <w:szCs w:val="20"/>
        </w:rPr>
        <w:t>Wykaz przedsięwzięć priorytetowych finansowanych w ramach Programu Regionalnego</w:t>
      </w:r>
      <w:r>
        <w:rPr>
          <w:rFonts w:ascii="Century Gothic" w:hAnsi="Century Gothic"/>
          <w:bCs/>
          <w:sz w:val="20"/>
          <w:szCs w:val="20"/>
        </w:rPr>
        <w:t>;</w:t>
      </w:r>
    </w:p>
    <w:p w14:paraId="3D5D5BA9" w14:textId="0CD674EC" w:rsidR="0001196F" w:rsidRPr="0001196F" w:rsidRDefault="0001196F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4) Załącznik nr 4 </w:t>
      </w:r>
      <w:r w:rsidR="006E0784">
        <w:rPr>
          <w:rFonts w:ascii="Century Gothic" w:hAnsi="Century Gothic"/>
          <w:bCs/>
          <w:sz w:val="20"/>
          <w:szCs w:val="20"/>
        </w:rPr>
        <w:t>–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01196F">
        <w:rPr>
          <w:rFonts w:ascii="Century Gothic" w:hAnsi="Century Gothic"/>
          <w:bCs/>
          <w:iCs/>
          <w:sz w:val="20"/>
          <w:szCs w:val="20"/>
        </w:rPr>
        <w:t>Harmonogram wydatków wynikających z podpisanych umów w ramach budżetu państwa i budżetu środków europejskich;</w:t>
      </w:r>
    </w:p>
    <w:p w14:paraId="20E9E0AF" w14:textId="30B9B07C" w:rsidR="00ED4296" w:rsidRPr="0001196F" w:rsidRDefault="0001196F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>5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 w:rsidRPr="0001196F">
        <w:rPr>
          <w:rFonts w:ascii="Century Gothic" w:hAnsi="Century Gothic"/>
          <w:sz w:val="20"/>
          <w:szCs w:val="20"/>
        </w:rPr>
        <w:t>5</w:t>
      </w:r>
      <w:r w:rsidR="00ED4296" w:rsidRPr="0001196F">
        <w:rPr>
          <w:rFonts w:ascii="Century Gothic" w:hAnsi="Century Gothic"/>
          <w:sz w:val="20"/>
          <w:szCs w:val="20"/>
        </w:rPr>
        <w:t xml:space="preserve"> – </w:t>
      </w:r>
      <w:r w:rsidR="00227C8A" w:rsidRPr="00227C8A">
        <w:rPr>
          <w:rFonts w:ascii="Century Gothic" w:hAnsi="Century Gothic"/>
          <w:sz w:val="20"/>
          <w:szCs w:val="20"/>
        </w:rPr>
        <w:t>Algorytm przeliczania środków EFRR, EFS+ oraz FST</w:t>
      </w:r>
      <w:r w:rsidR="00ED4296" w:rsidRPr="0001196F">
        <w:rPr>
          <w:rFonts w:ascii="Century Gothic" w:hAnsi="Century Gothic"/>
          <w:sz w:val="20"/>
          <w:szCs w:val="20"/>
        </w:rPr>
        <w:t>;</w:t>
      </w:r>
    </w:p>
    <w:p w14:paraId="23483622" w14:textId="44D1E85E" w:rsidR="0001196F" w:rsidRPr="0001196F" w:rsidRDefault="0001196F" w:rsidP="0001196F">
      <w:pPr>
        <w:pStyle w:val="Akapitzlist"/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6) Załącznik nr 6 </w:t>
      </w:r>
      <w:r w:rsidR="006E0784">
        <w:rPr>
          <w:rFonts w:ascii="Century Gothic" w:hAnsi="Century Gothic"/>
          <w:sz w:val="20"/>
          <w:szCs w:val="20"/>
        </w:rPr>
        <w:t>–</w:t>
      </w:r>
      <w:r w:rsidRPr="0001196F">
        <w:rPr>
          <w:rFonts w:ascii="Century Gothic" w:hAnsi="Century Gothic"/>
          <w:sz w:val="20"/>
          <w:szCs w:val="20"/>
        </w:rPr>
        <w:t xml:space="preserve"> </w:t>
      </w:r>
      <w:r w:rsidR="00227C8A" w:rsidRPr="00227C8A">
        <w:rPr>
          <w:rFonts w:ascii="Century Gothic" w:hAnsi="Century Gothic"/>
          <w:sz w:val="20"/>
          <w:szCs w:val="20"/>
        </w:rPr>
        <w:t>Maksymalny udział budżetu państwa w finansowaniu wydatków kwalifikowalnych w ramach danego projektu w danym celu szczegółowym w ramach EFS+</w:t>
      </w:r>
      <w:r w:rsidRPr="0001196F">
        <w:rPr>
          <w:rFonts w:ascii="Century Gothic" w:hAnsi="Century Gothic"/>
          <w:iCs/>
          <w:sz w:val="20"/>
          <w:szCs w:val="20"/>
        </w:rPr>
        <w:t>;</w:t>
      </w:r>
    </w:p>
    <w:p w14:paraId="475D6EFE" w14:textId="781BFECE" w:rsidR="00ED4296" w:rsidRDefault="0001196F" w:rsidP="0001196F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>7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 w:rsidRPr="0001196F">
        <w:rPr>
          <w:rFonts w:ascii="Century Gothic" w:hAnsi="Century Gothic"/>
          <w:sz w:val="20"/>
          <w:szCs w:val="20"/>
        </w:rPr>
        <w:t>7</w:t>
      </w:r>
      <w:r w:rsidR="00ED4296" w:rsidRPr="0001196F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 EFRR, EFS+ oraz FST.</w:t>
      </w:r>
    </w:p>
    <w:p w14:paraId="650B2C87" w14:textId="77777777" w:rsidR="00FB3983" w:rsidRPr="0001196F" w:rsidRDefault="00FB3983" w:rsidP="00FB398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045058E" w14:textId="7E8E61E4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3</w:t>
      </w:r>
    </w:p>
    <w:p w14:paraId="12F2D0B6" w14:textId="78B83572" w:rsidR="00ED4296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 w:rsidR="00F76D1B" w:rsidRPr="00F76D1B">
        <w:rPr>
          <w:rFonts w:ascii="Century Gothic" w:hAnsi="Century Gothic"/>
          <w:sz w:val="20"/>
          <w:szCs w:val="20"/>
        </w:rPr>
        <w:t>Łódzkiego</w:t>
      </w:r>
      <w:r w:rsidRPr="00187A8A">
        <w:rPr>
          <w:rFonts w:ascii="Century Gothic" w:hAnsi="Century Gothic"/>
          <w:sz w:val="20"/>
          <w:szCs w:val="20"/>
        </w:rPr>
        <w:t xml:space="preserve"> nie ulegają zmianie.</w:t>
      </w:r>
    </w:p>
    <w:p w14:paraId="4DE740A9" w14:textId="77777777" w:rsidR="00FB3983" w:rsidRDefault="00FB3983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3C1C3AA8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4</w:t>
      </w:r>
    </w:p>
    <w:p w14:paraId="2203247C" w14:textId="3BA8831D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sporządzony został w czterech jednobrzmiących egzemplarzach, po dwa dla każdej ze Stron.</w:t>
      </w:r>
    </w:p>
    <w:p w14:paraId="4ABAC2B5" w14:textId="79CC650E" w:rsidR="00FB3983" w:rsidRDefault="00FB398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1A2D405" w14:textId="77777777" w:rsidR="00ED4296" w:rsidRPr="00187A8A" w:rsidRDefault="00ED4296" w:rsidP="00ED4296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lastRenderedPageBreak/>
        <w:t>Art. 5</w:t>
      </w:r>
    </w:p>
    <w:p w14:paraId="5EAC7F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1A9FBBF4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57ED763B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978CA2E" w14:textId="535424BC" w:rsidR="00ED4296" w:rsidRPr="00187A8A" w:rsidRDefault="00ED4296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Minister:</w:t>
      </w:r>
      <w:r w:rsidRPr="00187A8A">
        <w:rPr>
          <w:rFonts w:ascii="Century Gothic" w:hAnsi="Century Gothic" w:cstheme="minorHAnsi"/>
          <w:sz w:val="20"/>
          <w:szCs w:val="20"/>
        </w:rPr>
        <w:tab/>
        <w:t>Marszałek / Wicemarszałek / Członek Zarządu Województwa:</w:t>
      </w:r>
    </w:p>
    <w:p w14:paraId="19F10521" w14:textId="77777777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</w:p>
    <w:p w14:paraId="4E5E823A" w14:textId="77777777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</w:p>
    <w:p w14:paraId="1AB6D09A" w14:textId="00E455D4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="00D66457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</w:p>
    <w:p w14:paraId="726D5C24" w14:textId="36D314DC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 xml:space="preserve">     </w:t>
      </w:r>
      <w:r w:rsidRPr="007F6650">
        <w:rPr>
          <w:rFonts w:ascii="Century Gothic" w:hAnsi="Century Gothic" w:cstheme="minorHAnsi"/>
          <w:sz w:val="18"/>
          <w:szCs w:val="18"/>
        </w:rPr>
        <w:t xml:space="preserve">   Data i podpis</w:t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  <w:t xml:space="preserve">               </w:t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  <w:t xml:space="preserve">       </w:t>
      </w:r>
      <w:r w:rsidR="007F6650">
        <w:rPr>
          <w:rFonts w:ascii="Century Gothic" w:hAnsi="Century Gothic" w:cstheme="minorHAnsi"/>
          <w:sz w:val="18"/>
          <w:szCs w:val="18"/>
        </w:rPr>
        <w:t xml:space="preserve">    </w:t>
      </w: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6874B3C2" w14:textId="5645B267" w:rsidR="00ED4296" w:rsidRDefault="00ED4296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4ADA022B" w14:textId="77777777" w:rsidR="0029515F" w:rsidRPr="00187A8A" w:rsidRDefault="0029515F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6020FBDB" w14:textId="29576F48" w:rsidR="00ED4296" w:rsidRPr="00187A8A" w:rsidRDefault="00ED4296" w:rsidP="00ED4296">
      <w:pPr>
        <w:spacing w:before="120" w:after="120"/>
        <w:ind w:left="4956"/>
        <w:rPr>
          <w:rFonts w:ascii="Century Gothic" w:eastAsia="Arial Unicode MS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Wicemarszałek / Członek Zarządu Województwa:</w:t>
      </w:r>
    </w:p>
    <w:p w14:paraId="6C6AED5A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5D208C01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</w:p>
    <w:p w14:paraId="44A7FB5F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</w:p>
    <w:p w14:paraId="7B6352C2" w14:textId="67F18047" w:rsidR="00ED4296" w:rsidRPr="007F6650" w:rsidRDefault="00ED4296" w:rsidP="007F6650">
      <w:pPr>
        <w:spacing w:before="240" w:after="120"/>
        <w:ind w:left="3900" w:firstLine="348"/>
        <w:jc w:val="center"/>
        <w:rPr>
          <w:rFonts w:ascii="Century Gothic" w:hAnsi="Century Gothic" w:cstheme="minorHAnsi"/>
          <w:sz w:val="18"/>
          <w:szCs w:val="18"/>
        </w:rPr>
      </w:pPr>
      <w:r w:rsidRPr="007F6650">
        <w:rPr>
          <w:rFonts w:ascii="Century Gothic" w:hAnsi="Century Gothic" w:cstheme="minorHAnsi"/>
          <w:sz w:val="18"/>
          <w:szCs w:val="18"/>
        </w:rPr>
        <w:t xml:space="preserve">     </w:t>
      </w:r>
      <w:r w:rsidR="007F6650">
        <w:rPr>
          <w:rFonts w:ascii="Century Gothic" w:hAnsi="Century Gothic" w:cstheme="minorHAnsi"/>
          <w:sz w:val="18"/>
          <w:szCs w:val="18"/>
        </w:rPr>
        <w:t xml:space="preserve"> </w:t>
      </w: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2C6AE838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br w:type="page"/>
      </w:r>
    </w:p>
    <w:p w14:paraId="1C5B7D0B" w14:textId="77777777" w:rsidR="00ED4296" w:rsidRPr="00D66457" w:rsidRDefault="00ED4296" w:rsidP="00ED4296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D66457">
        <w:rPr>
          <w:rFonts w:ascii="Century Gothic" w:hAnsi="Century Gothic"/>
          <w:sz w:val="20"/>
          <w:szCs w:val="20"/>
        </w:rPr>
        <w:lastRenderedPageBreak/>
        <w:t>Załącznik nr 1</w:t>
      </w:r>
    </w:p>
    <w:p w14:paraId="105F1561" w14:textId="0098ED6E" w:rsidR="00ED4296" w:rsidRPr="00D66457" w:rsidRDefault="00ED4296" w:rsidP="00D66457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/>
          <w:i/>
          <w:iCs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Podział kwoty Funduszu Pracy na kolejne lata wdrażania projektów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286"/>
        <w:gridCol w:w="1276"/>
        <w:gridCol w:w="1417"/>
      </w:tblGrid>
      <w:tr w:rsidR="00F76D1B" w:rsidRPr="00F76D1B" w14:paraId="3EBB8BA1" w14:textId="77777777" w:rsidTr="00C6120E">
        <w:tc>
          <w:tcPr>
            <w:tcW w:w="807" w:type="dxa"/>
            <w:vMerge w:val="restart"/>
            <w:shd w:val="clear" w:color="auto" w:fill="auto"/>
            <w:vAlign w:val="center"/>
          </w:tcPr>
          <w:p w14:paraId="55E9925C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Rok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14:paraId="7CA0C53C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Środki Funduszu Pracy (EUR)</w:t>
            </w:r>
          </w:p>
        </w:tc>
      </w:tr>
      <w:tr w:rsidR="00F76D1B" w:rsidRPr="00F76D1B" w14:paraId="334B43F4" w14:textId="77777777" w:rsidTr="00C6120E">
        <w:tc>
          <w:tcPr>
            <w:tcW w:w="807" w:type="dxa"/>
            <w:vMerge/>
            <w:shd w:val="clear" w:color="auto" w:fill="auto"/>
            <w:vAlign w:val="center"/>
          </w:tcPr>
          <w:p w14:paraId="3BE86AA4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E4FF689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łączny limit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1C142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w tym wkład 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FD281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w tym wkład krajowy</w:t>
            </w:r>
          </w:p>
        </w:tc>
      </w:tr>
      <w:tr w:rsidR="00F76D1B" w:rsidRPr="00F76D1B" w14:paraId="6BFEE582" w14:textId="77777777" w:rsidTr="00C6120E">
        <w:tc>
          <w:tcPr>
            <w:tcW w:w="807" w:type="dxa"/>
            <w:shd w:val="clear" w:color="auto" w:fill="auto"/>
            <w:vAlign w:val="center"/>
          </w:tcPr>
          <w:p w14:paraId="697ABE1B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4DC032D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2A85F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201E0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4 246 203</w:t>
            </w:r>
          </w:p>
        </w:tc>
      </w:tr>
      <w:tr w:rsidR="00F76D1B" w:rsidRPr="00F76D1B" w14:paraId="2463E35C" w14:textId="77777777" w:rsidTr="00C6120E">
        <w:tc>
          <w:tcPr>
            <w:tcW w:w="807" w:type="dxa"/>
            <w:shd w:val="clear" w:color="auto" w:fill="auto"/>
            <w:vAlign w:val="center"/>
          </w:tcPr>
          <w:p w14:paraId="2CB7A53D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C4AD620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54F9B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BE02D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4 246 203</w:t>
            </w:r>
          </w:p>
        </w:tc>
      </w:tr>
      <w:tr w:rsidR="00F76D1B" w:rsidRPr="00F76D1B" w14:paraId="39BF5174" w14:textId="77777777" w:rsidTr="00C6120E">
        <w:tc>
          <w:tcPr>
            <w:tcW w:w="807" w:type="dxa"/>
            <w:shd w:val="clear" w:color="auto" w:fill="auto"/>
            <w:vAlign w:val="center"/>
          </w:tcPr>
          <w:p w14:paraId="2715FF10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E6DCF6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77C2B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35D4D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 xml:space="preserve">4 246 200 </w:t>
            </w:r>
          </w:p>
        </w:tc>
      </w:tr>
      <w:tr w:rsidR="00F76D1B" w:rsidRPr="00F76D1B" w14:paraId="2586B278" w14:textId="77777777" w:rsidTr="00C6120E">
        <w:tc>
          <w:tcPr>
            <w:tcW w:w="807" w:type="dxa"/>
            <w:shd w:val="clear" w:color="auto" w:fill="auto"/>
            <w:vAlign w:val="center"/>
          </w:tcPr>
          <w:p w14:paraId="7BA499FE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4B490B8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0CEF7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0B7C4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4 246 200</w:t>
            </w:r>
          </w:p>
        </w:tc>
      </w:tr>
      <w:tr w:rsidR="00F76D1B" w:rsidRPr="00F76D1B" w14:paraId="415F3A4E" w14:textId="77777777" w:rsidTr="00C6120E">
        <w:tc>
          <w:tcPr>
            <w:tcW w:w="807" w:type="dxa"/>
            <w:shd w:val="clear" w:color="auto" w:fill="auto"/>
            <w:vAlign w:val="center"/>
          </w:tcPr>
          <w:p w14:paraId="3B797E62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F258CF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5C38E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C0DED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4 246 200</w:t>
            </w:r>
          </w:p>
        </w:tc>
      </w:tr>
      <w:tr w:rsidR="00F76D1B" w:rsidRPr="00F76D1B" w14:paraId="1E18580E" w14:textId="77777777" w:rsidTr="00C6120E">
        <w:tc>
          <w:tcPr>
            <w:tcW w:w="807" w:type="dxa"/>
            <w:shd w:val="clear" w:color="auto" w:fill="auto"/>
            <w:vAlign w:val="center"/>
          </w:tcPr>
          <w:p w14:paraId="7D4C89E4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C52DB92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28 308 000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E7809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24 061 800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FBED2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4 246 200</w:t>
            </w:r>
          </w:p>
        </w:tc>
      </w:tr>
      <w:tr w:rsidR="00F76D1B" w:rsidRPr="00F76D1B" w14:paraId="19A584A7" w14:textId="77777777" w:rsidTr="00C6120E">
        <w:tc>
          <w:tcPr>
            <w:tcW w:w="807" w:type="dxa"/>
            <w:shd w:val="clear" w:color="auto" w:fill="auto"/>
            <w:vAlign w:val="center"/>
          </w:tcPr>
          <w:p w14:paraId="26F6DBCB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2029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5AB1E4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76C0B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8B146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0</w:t>
            </w:r>
          </w:p>
        </w:tc>
      </w:tr>
      <w:tr w:rsidR="00F76D1B" w:rsidRPr="00F76D1B" w14:paraId="01F1D469" w14:textId="77777777" w:rsidTr="00C6120E">
        <w:tc>
          <w:tcPr>
            <w:tcW w:w="807" w:type="dxa"/>
            <w:shd w:val="clear" w:color="auto" w:fill="auto"/>
            <w:vAlign w:val="center"/>
          </w:tcPr>
          <w:p w14:paraId="7DDEB34F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RAZEM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391EA30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169 848 046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22374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144 370 840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7082F" w14:textId="77777777" w:rsidR="00F76D1B" w:rsidRPr="00F76D1B" w:rsidRDefault="00F76D1B" w:rsidP="00F76D1B">
            <w:pPr>
              <w:spacing w:before="120" w:after="120" w:line="276" w:lineRule="auto"/>
              <w:jc w:val="center"/>
              <w:rPr>
                <w:rFonts w:ascii="Century Gothic" w:eastAsia="Symbol" w:hAnsi="Century Gothic" w:cs="Times New Roman"/>
                <w:iCs/>
                <w:sz w:val="18"/>
                <w:szCs w:val="18"/>
              </w:rPr>
            </w:pPr>
            <w:r w:rsidRPr="00F76D1B">
              <w:rPr>
                <w:rFonts w:ascii="Century Gothic" w:eastAsia="Symbol" w:hAnsi="Century Gothic" w:cs="Times New Roman"/>
                <w:iCs/>
                <w:sz w:val="18"/>
                <w:szCs w:val="18"/>
              </w:rPr>
              <w:t>25 477 206</w:t>
            </w:r>
          </w:p>
        </w:tc>
      </w:tr>
    </w:tbl>
    <w:p w14:paraId="104ECF86" w14:textId="3EF7190A" w:rsidR="00F76D1B" w:rsidRDefault="00F76D1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20EEBA5" w14:textId="1DDEFE74" w:rsidR="00F76D1B" w:rsidRPr="00D66457" w:rsidRDefault="00F76D1B" w:rsidP="00D66457">
      <w:pPr>
        <w:pStyle w:val="Akapitzlist"/>
        <w:spacing w:before="120" w:after="120" w:line="360" w:lineRule="auto"/>
        <w:ind w:left="0"/>
        <w:contextualSpacing w:val="0"/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</w:pPr>
      <w:r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01196F"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t>2</w:t>
      </w:r>
    </w:p>
    <w:p w14:paraId="6172D5A2" w14:textId="77777777" w:rsidR="00F76D1B" w:rsidRPr="00F76D1B" w:rsidRDefault="00F76D1B" w:rsidP="00F76D1B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Katalog odstępstw Programu Regionalnego od linii demarkacyjnej</w:t>
      </w:r>
    </w:p>
    <w:p w14:paraId="0D7A86A4" w14:textId="77777777" w:rsidR="00F76D1B" w:rsidRPr="00F76D1B" w:rsidRDefault="00F76D1B" w:rsidP="00F76D1B">
      <w:pPr>
        <w:spacing w:after="200" w:line="276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(na podstawie dokumentu </w:t>
      </w:r>
      <w:r w:rsidRPr="00F76D1B">
        <w:rPr>
          <w:rFonts w:ascii="Century Gothic" w:eastAsia="Times New Roman" w:hAnsi="Century Gothic" w:cs="Times New Roman"/>
          <w:sz w:val="18"/>
          <w:szCs w:val="18"/>
          <w:lang w:eastAsia="pl-PL"/>
        </w:rPr>
        <w:t>„Linia demarkacyjna. Podział interwencji i zasad wdrażania programów krajowych i regionalnych w perspektywie finansowej na lata 2021-2027”, zatwierdzonej przez ministra właściwego do spraw rozwoju regionalnego w dniu 20 września 2022 r.)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2149"/>
        <w:gridCol w:w="2968"/>
        <w:gridCol w:w="3053"/>
      </w:tblGrid>
      <w:tr w:rsidR="00F76D1B" w:rsidRPr="00F76D1B" w14:paraId="10AF58B3" w14:textId="77777777" w:rsidTr="00C6120E">
        <w:trPr>
          <w:jc w:val="center"/>
        </w:trPr>
        <w:tc>
          <w:tcPr>
            <w:tcW w:w="922" w:type="dxa"/>
            <w:shd w:val="clear" w:color="auto" w:fill="auto"/>
          </w:tcPr>
          <w:p w14:paraId="308BEC7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Cel Polityki</w:t>
            </w:r>
          </w:p>
        </w:tc>
        <w:tc>
          <w:tcPr>
            <w:tcW w:w="2268" w:type="dxa"/>
            <w:shd w:val="clear" w:color="auto" w:fill="auto"/>
          </w:tcPr>
          <w:p w14:paraId="02FA5AA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Cel szczegółowy</w:t>
            </w:r>
          </w:p>
        </w:tc>
        <w:tc>
          <w:tcPr>
            <w:tcW w:w="3260" w:type="dxa"/>
            <w:shd w:val="clear" w:color="auto" w:fill="auto"/>
          </w:tcPr>
          <w:p w14:paraId="5973B97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Treść linii demarkacyjnej</w:t>
            </w:r>
          </w:p>
        </w:tc>
        <w:tc>
          <w:tcPr>
            <w:tcW w:w="3402" w:type="dxa"/>
            <w:shd w:val="clear" w:color="auto" w:fill="auto"/>
          </w:tcPr>
          <w:p w14:paraId="479DED8F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Zakres odstępstwa Programu Regionalnego od linii demarkacyjnej</w:t>
            </w:r>
          </w:p>
        </w:tc>
      </w:tr>
      <w:tr w:rsidR="00F76D1B" w:rsidRPr="00F76D1B" w14:paraId="1103CFFD" w14:textId="77777777" w:rsidTr="00C6120E">
        <w:trPr>
          <w:jc w:val="center"/>
        </w:trPr>
        <w:tc>
          <w:tcPr>
            <w:tcW w:w="922" w:type="dxa"/>
            <w:shd w:val="clear" w:color="auto" w:fill="auto"/>
          </w:tcPr>
          <w:p w14:paraId="31EA8506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CP4</w:t>
            </w:r>
          </w:p>
        </w:tc>
        <w:tc>
          <w:tcPr>
            <w:tcW w:w="2268" w:type="dxa"/>
            <w:shd w:val="clear" w:color="auto" w:fill="auto"/>
          </w:tcPr>
          <w:p w14:paraId="0CFE014A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(vi)</w:t>
            </w:r>
          </w:p>
        </w:tc>
        <w:tc>
          <w:tcPr>
            <w:tcW w:w="3260" w:type="dxa"/>
            <w:shd w:val="clear" w:color="auto" w:fill="auto"/>
          </w:tcPr>
          <w:p w14:paraId="078419A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Rodzaj projektu:</w:t>
            </w:r>
          </w:p>
          <w:p w14:paraId="71D8BDC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Rozwój i zwiększanie dostępności infrastruktury do prowadzenia działalności kulturalnej ważnej dla edukacji i aktywności kulturalnej (m.in. szkoły artystyczne, uczelnie artystyczne, teatry, zespoły artystyczne, galerie, biblioteki, centra kultury, muzea).</w:t>
            </w:r>
          </w:p>
          <w:p w14:paraId="22F4AE1E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Poziom krajowy:</w:t>
            </w:r>
          </w:p>
          <w:p w14:paraId="1FC88B71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Przedsięwzięcia instytucji kultury współprowadzonych przez administrację rządową z instytucjami samorządu </w:t>
            </w:r>
            <w:r w:rsidRPr="00F76D1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pl-PL"/>
              </w:rPr>
              <w:t>terytorialnego z wyłączeniem uzgodnionych w kontrakcie programowym.</w:t>
            </w:r>
          </w:p>
          <w:p w14:paraId="6B9A4005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Poziom regionalny:</w:t>
            </w:r>
          </w:p>
          <w:p w14:paraId="1796F515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Przedsięwzięcia dotyczące podmiotów/instytucji kultury współprowadzonych przez administrację rządową i samorządową, </w:t>
            </w:r>
            <w:r w:rsidRPr="00F76D1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pl-PL"/>
              </w:rPr>
              <w:t>uzgodnione w kontrakcie programowym.</w:t>
            </w:r>
          </w:p>
        </w:tc>
        <w:tc>
          <w:tcPr>
            <w:tcW w:w="3402" w:type="dxa"/>
            <w:shd w:val="clear" w:color="auto" w:fill="auto"/>
          </w:tcPr>
          <w:p w14:paraId="0EFCBDA3" w14:textId="01476E86" w:rsidR="00F76D1B" w:rsidRPr="00D66457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Umożliwienie w Programie Regionalnym wsparcia przedsięwzięcia priorytetowego wymienionego w załączniku nr 10 do Kontraktu pn. „Centrum Edukacji Muzycznej Województwa Łódzkiego” (beneficjent: Filharmonia Łódzka współprowadzona przez Ministra Kultury i Dziedzictwa Narodowego).</w:t>
            </w:r>
          </w:p>
        </w:tc>
      </w:tr>
      <w:tr w:rsidR="00F76D1B" w:rsidRPr="00F76D1B" w14:paraId="1556921A" w14:textId="77777777" w:rsidTr="00C6120E">
        <w:trPr>
          <w:jc w:val="center"/>
        </w:trPr>
        <w:tc>
          <w:tcPr>
            <w:tcW w:w="922" w:type="dxa"/>
            <w:shd w:val="clear" w:color="auto" w:fill="auto"/>
          </w:tcPr>
          <w:p w14:paraId="5A4ED21C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CP4</w:t>
            </w:r>
          </w:p>
        </w:tc>
        <w:tc>
          <w:tcPr>
            <w:tcW w:w="2268" w:type="dxa"/>
            <w:shd w:val="clear" w:color="auto" w:fill="auto"/>
          </w:tcPr>
          <w:p w14:paraId="1CDF54AA" w14:textId="77777777" w:rsidR="00F76D1B" w:rsidRPr="00F76D1B" w:rsidDel="00151705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</w:t>
            </w: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osób biernych zawodowo, a także poprzez promowanie samozatrudnienia i ekonomii społecznej</w:t>
            </w:r>
          </w:p>
        </w:tc>
        <w:tc>
          <w:tcPr>
            <w:tcW w:w="3260" w:type="dxa"/>
            <w:shd w:val="clear" w:color="auto" w:fill="auto"/>
          </w:tcPr>
          <w:p w14:paraId="3EBFC51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Rodzaj projektu:</w:t>
            </w:r>
          </w:p>
          <w:p w14:paraId="5DF8DA3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Aktywizacja zawodowa osób bezrobotnych i samozatrudnienie.</w:t>
            </w:r>
          </w:p>
          <w:p w14:paraId="2ED79E03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Poziom krajowy:</w:t>
            </w:r>
          </w:p>
          <w:p w14:paraId="20D5978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Instrumenty zwrotne na samozatrudnienie.</w:t>
            </w:r>
          </w:p>
          <w:p w14:paraId="3D22157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Poziom regionalny:</w:t>
            </w:r>
          </w:p>
          <w:p w14:paraId="5F9E5BC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Kompleksowa aktywizacja zawodowa osób bezrobotnych realizowana w projektach urzędów pracy (w tym dotacje na samozatrudnienie) w celu </w:t>
            </w: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zwiększenia ich szans na znalezienie zatrudnienia.</w:t>
            </w:r>
          </w:p>
          <w:p w14:paraId="59330009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Wsparcie osób młodych pozostających bez pracy znajdujących się w niekorzystnej sytuacji na rynku pracy realizowane w projektach OHP.</w:t>
            </w:r>
          </w:p>
          <w:p w14:paraId="14953BF4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Wsparcie osób ubogich pracujących oraz osób zatrudnionych na umowach cywilnoprawnych mające na celu poprawę ich sytuacji na rynku pracy.</w:t>
            </w:r>
          </w:p>
        </w:tc>
        <w:tc>
          <w:tcPr>
            <w:tcW w:w="3402" w:type="dxa"/>
            <w:shd w:val="clear" w:color="auto" w:fill="auto"/>
          </w:tcPr>
          <w:p w14:paraId="3C29BB95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Umożliwienie realizacji w ramach Programu Regionalnego, w trybie niekonkurencyjnym, przez Wojewódzki Urząd Pracy w Łodzi projektu w zakresie aktywizacji zawodowej osób pozostających bez pracy i wsparcie rozwoju przedsiębiorczości poprzez udzielanie dotacji na rozpoczęcie działalności gospodarczej.</w:t>
            </w:r>
          </w:p>
          <w:p w14:paraId="280E28F5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Odstępstwo dotyczy wyłącznie działań realizowanych w ramach przedsięwzięcia priorytetowego wymienionego </w:t>
            </w: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w załączniku nr 10 do Kontraktu pn. „Aktywizacja zawodowa osób bezrobotnych 2023-2029 poprzez wsparcie rozwoju przedsiębiorczości”.</w:t>
            </w:r>
          </w:p>
          <w:p w14:paraId="42461313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Projekt będzie realizowany zgodnie z warunkami wypracowanymi w toku ustaleń między Ministrem i Stroną samorządową.</w:t>
            </w:r>
          </w:p>
        </w:tc>
      </w:tr>
    </w:tbl>
    <w:p w14:paraId="0BDC705D" w14:textId="77777777" w:rsidR="00F76D1B" w:rsidRDefault="00F76D1B" w:rsidP="00F76D1B">
      <w:pPr>
        <w:rPr>
          <w:rFonts w:ascii="Century Gothic" w:hAnsi="Century Gothic"/>
          <w:sz w:val="20"/>
          <w:szCs w:val="20"/>
        </w:rPr>
      </w:pPr>
    </w:p>
    <w:p w14:paraId="3803CFF4" w14:textId="060BC049" w:rsidR="00F76D1B" w:rsidRPr="00F76D1B" w:rsidRDefault="00F76D1B" w:rsidP="00F76D1B">
      <w:pPr>
        <w:rPr>
          <w:rFonts w:ascii="Century Gothic" w:hAnsi="Century Gothic"/>
          <w:sz w:val="20"/>
          <w:szCs w:val="20"/>
        </w:rPr>
        <w:sectPr w:rsidR="00F76D1B" w:rsidRPr="00F76D1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D9B89" w14:textId="073B2680" w:rsidR="00ED4296" w:rsidRPr="00D66457" w:rsidRDefault="00ED4296" w:rsidP="00ED4296">
      <w:pPr>
        <w:pStyle w:val="Akapitzlist"/>
        <w:spacing w:before="120" w:after="120" w:line="360" w:lineRule="auto"/>
        <w:ind w:left="0"/>
        <w:contextualSpacing w:val="0"/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</w:pPr>
      <w:r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01196F"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t>3</w:t>
      </w:r>
    </w:p>
    <w:p w14:paraId="78580C27" w14:textId="2C67B83D" w:rsidR="00ED4296" w:rsidRPr="00187A8A" w:rsidRDefault="00ED4296" w:rsidP="00D66457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  <w:highlight w:val="yellow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Wykaz przedsięwzięć priorytetowych finansowanych w ramach Programu Regionalnego</w:t>
      </w:r>
    </w:p>
    <w:tbl>
      <w:tblPr>
        <w:tblW w:w="14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16"/>
        <w:gridCol w:w="902"/>
        <w:gridCol w:w="1690"/>
        <w:gridCol w:w="1378"/>
        <w:gridCol w:w="1529"/>
        <w:gridCol w:w="2802"/>
        <w:gridCol w:w="1367"/>
      </w:tblGrid>
      <w:tr w:rsidR="00F76D1B" w:rsidRPr="00F76D1B" w14:paraId="189D9003" w14:textId="77777777" w:rsidTr="00C6120E">
        <w:trPr>
          <w:jc w:val="center"/>
        </w:trPr>
        <w:tc>
          <w:tcPr>
            <w:tcW w:w="534" w:type="dxa"/>
            <w:shd w:val="clear" w:color="auto" w:fill="auto"/>
          </w:tcPr>
          <w:p w14:paraId="05EDFD1A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16" w:type="dxa"/>
            <w:shd w:val="clear" w:color="auto" w:fill="auto"/>
          </w:tcPr>
          <w:p w14:paraId="1613715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Nazwa przedsięwzięcia</w:t>
            </w:r>
          </w:p>
        </w:tc>
        <w:tc>
          <w:tcPr>
            <w:tcW w:w="902" w:type="dxa"/>
          </w:tcPr>
          <w:p w14:paraId="02F0C8FE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Fundusz</w:t>
            </w:r>
          </w:p>
        </w:tc>
        <w:tc>
          <w:tcPr>
            <w:tcW w:w="1690" w:type="dxa"/>
          </w:tcPr>
          <w:p w14:paraId="6A5B6155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Szacunkowa wartość dofinansowania UE (EUR)</w:t>
            </w:r>
          </w:p>
        </w:tc>
        <w:tc>
          <w:tcPr>
            <w:tcW w:w="1378" w:type="dxa"/>
          </w:tcPr>
          <w:p w14:paraId="4EB1E866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Szacunkowa wartość całkowita (EUR)</w:t>
            </w:r>
          </w:p>
        </w:tc>
        <w:tc>
          <w:tcPr>
            <w:tcW w:w="1529" w:type="dxa"/>
          </w:tcPr>
          <w:p w14:paraId="1A2D7ED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Beneficjent / grupa beneficjentów</w:t>
            </w:r>
          </w:p>
        </w:tc>
        <w:tc>
          <w:tcPr>
            <w:tcW w:w="2802" w:type="dxa"/>
            <w:shd w:val="clear" w:color="auto" w:fill="auto"/>
          </w:tcPr>
          <w:p w14:paraId="5E674276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Warunki realizacji</w:t>
            </w:r>
          </w:p>
        </w:tc>
        <w:tc>
          <w:tcPr>
            <w:tcW w:w="1367" w:type="dxa"/>
          </w:tcPr>
          <w:p w14:paraId="3A6D929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Cel Polityki / cel szczegółowy</w:t>
            </w:r>
          </w:p>
        </w:tc>
      </w:tr>
      <w:tr w:rsidR="00F76D1B" w:rsidRPr="00F76D1B" w14:paraId="215102A8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AA7ECE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7ACF9C1E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Utworzenie Bloku Operacyjnego z Centralną </w:t>
            </w:r>
            <w:proofErr w:type="spellStart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Sterylizatornią</w:t>
            </w:r>
            <w:proofErr w:type="spellEnd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dla Wojewódzkiego Szpitala Specjalistycznego im. Marii Skłodowskiej-Curie w Zgierzu</w:t>
            </w:r>
          </w:p>
        </w:tc>
        <w:tc>
          <w:tcPr>
            <w:tcW w:w="902" w:type="dxa"/>
            <w:vAlign w:val="center"/>
          </w:tcPr>
          <w:p w14:paraId="09A531B3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21704AD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10 285 000</w:t>
            </w:r>
          </w:p>
        </w:tc>
        <w:tc>
          <w:tcPr>
            <w:tcW w:w="1378" w:type="dxa"/>
            <w:vAlign w:val="center"/>
          </w:tcPr>
          <w:p w14:paraId="6BF2DC89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12 010 000</w:t>
            </w:r>
          </w:p>
        </w:tc>
        <w:tc>
          <w:tcPr>
            <w:tcW w:w="1529" w:type="dxa"/>
            <w:vAlign w:val="center"/>
          </w:tcPr>
          <w:p w14:paraId="5F035ED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Wojewódzki Szpital Specjalistyczny im. Marii Skłodowskiej-Curie w Zgierzu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F5A4DA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1. Możliwość realizacji po zweryfikowaniu i potwierdzeniu zgodności zakresu przedsięwzięcia z zapisami Umowy Partnerstwa i Programu Regionalnego.</w:t>
            </w:r>
          </w:p>
          <w:p w14:paraId="6662AB1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2. Możliwość realizacji przy zapewnieniu zgodności z warunkami określonymi przez Komitet Sterujący do spraw koordynacji interwencji w sektorze zdrowia oraz spełnieniu warunków wynikających z dokumentów strategicznych w zakresie ochrony zdrowia lub </w:t>
            </w:r>
            <w:proofErr w:type="spellStart"/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deinstytucjonalizacji</w:t>
            </w:r>
            <w:proofErr w:type="spellEnd"/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.</w:t>
            </w:r>
          </w:p>
          <w:p w14:paraId="724A182C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3. Możliwość realizacji przy zapewnieniu rozdziału interwencji przewidzianej w projekcie z zakresem określonym w komponencie D Krajowego Planu Odbudowy.</w:t>
            </w:r>
          </w:p>
          <w:p w14:paraId="1F8E3E22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4. Możliwość zastosowania trybu niekonkurencyjnego po </w:t>
            </w: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lastRenderedPageBreak/>
              <w:t>spełnieniu warunków określonych w pkt. 2 i 3.</w:t>
            </w:r>
          </w:p>
        </w:tc>
        <w:tc>
          <w:tcPr>
            <w:tcW w:w="1367" w:type="dxa"/>
            <w:vAlign w:val="center"/>
          </w:tcPr>
          <w:p w14:paraId="2EF2526E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CP4/(v)</w:t>
            </w:r>
          </w:p>
        </w:tc>
      </w:tr>
      <w:tr w:rsidR="00F76D1B" w:rsidRPr="00F76D1B" w14:paraId="40771CFD" w14:textId="77777777" w:rsidTr="00C6120E">
        <w:trPr>
          <w:trHeight w:val="130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DF9F74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jc w:val="center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0CF4F65E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Budowa linii łączącej Bełchatów z linią 131</w:t>
            </w:r>
          </w:p>
        </w:tc>
        <w:tc>
          <w:tcPr>
            <w:tcW w:w="902" w:type="dxa"/>
            <w:vAlign w:val="center"/>
          </w:tcPr>
          <w:p w14:paraId="2C9C23BB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7D137D85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120 910 000</w:t>
            </w:r>
          </w:p>
        </w:tc>
        <w:tc>
          <w:tcPr>
            <w:tcW w:w="1378" w:type="dxa"/>
            <w:vAlign w:val="center"/>
          </w:tcPr>
          <w:p w14:paraId="6FC3472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158 958 000</w:t>
            </w:r>
          </w:p>
        </w:tc>
        <w:tc>
          <w:tcPr>
            <w:tcW w:w="1529" w:type="dxa"/>
            <w:vAlign w:val="center"/>
          </w:tcPr>
          <w:p w14:paraId="318EB74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B192915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Wymagane jest aby projekt wynikał z Regionalnego Planu Transportowego. </w:t>
            </w:r>
          </w:p>
          <w:p w14:paraId="1F49D6C2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Wymagane jest ujęcie projektu w Krajowym Planie Kolejowym.</w:t>
            </w:r>
          </w:p>
          <w:p w14:paraId="6EC098EE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6DB7D519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CP3/(ii)</w:t>
            </w:r>
          </w:p>
        </w:tc>
      </w:tr>
      <w:tr w:rsidR="00F76D1B" w:rsidRPr="00F76D1B" w14:paraId="3B0364F2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49FE7F5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759277DE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Budowa nowych i modernizacja istniejących przystanków kolejowych na obszarze województwa łódzkiego</w:t>
            </w:r>
          </w:p>
        </w:tc>
        <w:tc>
          <w:tcPr>
            <w:tcW w:w="902" w:type="dxa"/>
            <w:vAlign w:val="center"/>
          </w:tcPr>
          <w:p w14:paraId="0F0D860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14DA555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19 319 000</w:t>
            </w:r>
          </w:p>
        </w:tc>
        <w:tc>
          <w:tcPr>
            <w:tcW w:w="1378" w:type="dxa"/>
            <w:vAlign w:val="center"/>
          </w:tcPr>
          <w:p w14:paraId="1708ABF2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22 728 000</w:t>
            </w:r>
          </w:p>
        </w:tc>
        <w:tc>
          <w:tcPr>
            <w:tcW w:w="1529" w:type="dxa"/>
            <w:vAlign w:val="center"/>
          </w:tcPr>
          <w:p w14:paraId="42B9256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3DBB222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Wymagane jest aby projekt wynikał z Regionalnego Planu Transportowego. </w:t>
            </w:r>
          </w:p>
          <w:p w14:paraId="2E4DAF86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Wymagane jest ujęcie projektu w Krajowym Planie Kolejowym.</w:t>
            </w:r>
          </w:p>
          <w:p w14:paraId="7553741B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1D9A142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CP3/(ii)</w:t>
            </w:r>
          </w:p>
        </w:tc>
      </w:tr>
      <w:tr w:rsidR="00F76D1B" w:rsidRPr="00F76D1B" w14:paraId="270C3EC0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C4476C7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398D621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Centrum Folkloru Regionu Łódzkiego (budowa budynku pasywnego)</w:t>
            </w:r>
          </w:p>
        </w:tc>
        <w:tc>
          <w:tcPr>
            <w:tcW w:w="902" w:type="dxa"/>
            <w:vAlign w:val="center"/>
          </w:tcPr>
          <w:p w14:paraId="7FFA111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376E39F5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4 546 000</w:t>
            </w:r>
          </w:p>
        </w:tc>
        <w:tc>
          <w:tcPr>
            <w:tcW w:w="1378" w:type="dxa"/>
            <w:vAlign w:val="center"/>
          </w:tcPr>
          <w:p w14:paraId="1AB23211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6 819 000</w:t>
            </w:r>
          </w:p>
        </w:tc>
        <w:tc>
          <w:tcPr>
            <w:tcW w:w="1529" w:type="dxa"/>
            <w:vAlign w:val="center"/>
          </w:tcPr>
          <w:p w14:paraId="41376348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Województwo Łódzkie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4E8A856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Warunki i kwota udzielonego dofinansowania muszą być zgodne z właściwymi przepisami dotyczącymi pomocy publicznej.</w:t>
            </w:r>
          </w:p>
          <w:p w14:paraId="6C8EA349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0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371B22A1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CP2/(i)</w:t>
            </w:r>
          </w:p>
        </w:tc>
      </w:tr>
      <w:tr w:rsidR="00F76D1B" w:rsidRPr="00F76D1B" w14:paraId="613FBE80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BD01170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1839A652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Przebudowa linii tramwajowej na ul. Legionów, Zielonej, Konstantynowskiej i </w:t>
            </w:r>
            <w:proofErr w:type="spellStart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Srebrzyńskiej</w:t>
            </w:r>
            <w:proofErr w:type="spellEnd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wraz z infrastrukturą zasilającą i przystankową</w:t>
            </w:r>
          </w:p>
        </w:tc>
        <w:tc>
          <w:tcPr>
            <w:tcW w:w="902" w:type="dxa"/>
            <w:vAlign w:val="center"/>
          </w:tcPr>
          <w:p w14:paraId="76AE46D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16E0A902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27 109 000</w:t>
            </w:r>
          </w:p>
        </w:tc>
        <w:tc>
          <w:tcPr>
            <w:tcW w:w="1378" w:type="dxa"/>
            <w:vAlign w:val="center"/>
          </w:tcPr>
          <w:p w14:paraId="43C071CA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39 228 000</w:t>
            </w:r>
          </w:p>
        </w:tc>
        <w:tc>
          <w:tcPr>
            <w:tcW w:w="1529" w:type="dxa"/>
            <w:vAlign w:val="center"/>
          </w:tcPr>
          <w:p w14:paraId="48DA37D6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69CE455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Możliwość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realizacji przy zapewnieniu zgodności z warunkami obowiązującymi inwestycje w obszarze transportu niskoemisyjnego w CP2. Wymagane jest aby projekt wynikał z SUMP lub 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strategii ZIT/strategii rozwoju ponadlokalnego.</w:t>
            </w:r>
          </w:p>
          <w:p w14:paraId="7BF077AD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532C302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CP2/(viii)</w:t>
            </w:r>
          </w:p>
        </w:tc>
      </w:tr>
      <w:tr w:rsidR="00F76D1B" w:rsidRPr="00F76D1B" w14:paraId="0227EE50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7C2424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66836BA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Rewitalizacja obszarów zdegradowanych – województwo łódzkie (z wyłączeniem miasta wojewódzkiego)</w:t>
            </w:r>
          </w:p>
        </w:tc>
        <w:tc>
          <w:tcPr>
            <w:tcW w:w="902" w:type="dxa"/>
            <w:vAlign w:val="center"/>
          </w:tcPr>
          <w:p w14:paraId="5AC5685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6241A64D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77 746 611</w:t>
            </w:r>
          </w:p>
        </w:tc>
        <w:tc>
          <w:tcPr>
            <w:tcW w:w="1378" w:type="dxa"/>
            <w:vAlign w:val="center"/>
          </w:tcPr>
          <w:p w14:paraId="0B95D51B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14:paraId="0E1D2D5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Gminy województwa łódzkiego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0608BB1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Możliwość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realizacji przy zapewnieniu zgodności z warunkami obowiązującymi inwestycje w CP5, tj. wdrażanie poprzez Inny Instrument Terytorialny oparty na strategii terytorialnej (w przypadku rewitalizacji funkcję strategii IIT będzie pełnić Gminny Program Rewitalizacji).</w:t>
            </w:r>
          </w:p>
          <w:p w14:paraId="62DBC42A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Warunki i kwota udzielonego dofinansowania muszą być zgodne z właściwymi przepisami dotyczącymi pomocy publicznej.</w:t>
            </w:r>
          </w:p>
          <w:p w14:paraId="2401684F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konkurencyjnego.</w:t>
            </w:r>
          </w:p>
        </w:tc>
        <w:tc>
          <w:tcPr>
            <w:tcW w:w="1367" w:type="dxa"/>
            <w:vAlign w:val="center"/>
          </w:tcPr>
          <w:p w14:paraId="650B6B8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CP5/(i)</w:t>
            </w:r>
          </w:p>
        </w:tc>
      </w:tr>
      <w:tr w:rsidR="00F76D1B" w:rsidRPr="00F76D1B" w14:paraId="6A4FEC9A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EE1A40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971E30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Rewitalizacja obszarowa centrum Łodzi (Projekt 9)</w:t>
            </w:r>
          </w:p>
        </w:tc>
        <w:tc>
          <w:tcPr>
            <w:tcW w:w="902" w:type="dxa"/>
            <w:vAlign w:val="center"/>
          </w:tcPr>
          <w:p w14:paraId="011EF22A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1B3CE35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26 229 000</w:t>
            </w:r>
          </w:p>
        </w:tc>
        <w:tc>
          <w:tcPr>
            <w:tcW w:w="1378" w:type="dxa"/>
            <w:vAlign w:val="center"/>
          </w:tcPr>
          <w:p w14:paraId="09EA4F49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37 955 000</w:t>
            </w:r>
          </w:p>
        </w:tc>
        <w:tc>
          <w:tcPr>
            <w:tcW w:w="1529" w:type="dxa"/>
            <w:vAlign w:val="center"/>
          </w:tcPr>
          <w:p w14:paraId="7CF057DB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B6754D3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Możliwość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realizacji przy zapewnieniu zgodności z warunkami obowiązującymi inwestycje w CP5, tj. wdrażanie poprzez Inny Instrument Terytorialny oparty na strategii terytorialnej (w przypadku rewitalizacji funkcję strategii IIT będzie pełnić Gminny Program Rewitalizacji).</w:t>
            </w:r>
          </w:p>
          <w:p w14:paraId="362DDFD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lastRenderedPageBreak/>
              <w:t>Warunki i kwota udzielonego dofinansowania muszą być zgodne z właściwymi przepisami dotyczącymi pomocy publicznej.</w:t>
            </w:r>
          </w:p>
          <w:p w14:paraId="18F230DA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1E48CF93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CP5/(i)</w:t>
            </w:r>
          </w:p>
        </w:tc>
      </w:tr>
      <w:tr w:rsidR="00F76D1B" w:rsidRPr="00F76D1B" w14:paraId="2E8D317A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734C49D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E67676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Teatr Powszechny w Łodzi – Europejskie Centrum Komedii i Edukacji Teatralnej</w:t>
            </w:r>
          </w:p>
        </w:tc>
        <w:tc>
          <w:tcPr>
            <w:tcW w:w="902" w:type="dxa"/>
            <w:vAlign w:val="center"/>
          </w:tcPr>
          <w:p w14:paraId="3FF6558C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683CBD1D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6 283 000</w:t>
            </w:r>
          </w:p>
        </w:tc>
        <w:tc>
          <w:tcPr>
            <w:tcW w:w="1378" w:type="dxa"/>
            <w:vAlign w:val="center"/>
          </w:tcPr>
          <w:p w14:paraId="7D2FF8E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9 091 000</w:t>
            </w:r>
          </w:p>
        </w:tc>
        <w:tc>
          <w:tcPr>
            <w:tcW w:w="1529" w:type="dxa"/>
            <w:vAlign w:val="center"/>
          </w:tcPr>
          <w:p w14:paraId="346C5098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Teatr Powszechny w Łodzi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A5CA42C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Możliwość realizacji przy zapewnieniu zgodności z warunkami obowiązującymi inwestycje w CP4 wynikającymi z Umowy Partnerstwa oraz odpowiednio z Programu Regionalnego.</w:t>
            </w:r>
          </w:p>
          <w:p w14:paraId="0F12F45E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Konieczne jest zapewnienie braku podwójnego finansowania przedsięwzięcia oraz komplementarności z projektami  z CP5, wynikającymi ze strategii terytorialnych lub lokalnych.</w:t>
            </w:r>
          </w:p>
          <w:p w14:paraId="65357F75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5067860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CP4/(vi)</w:t>
            </w:r>
          </w:p>
        </w:tc>
      </w:tr>
      <w:tr w:rsidR="00F76D1B" w:rsidRPr="00F76D1B" w14:paraId="261FAA01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AFEFFB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6D96682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Rozbudowa regionalnego systemu informacji przestrzennej województwa łódzkiego</w:t>
            </w:r>
          </w:p>
        </w:tc>
        <w:tc>
          <w:tcPr>
            <w:tcW w:w="902" w:type="dxa"/>
            <w:vAlign w:val="center"/>
          </w:tcPr>
          <w:p w14:paraId="3E2625F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588A419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4 546 000</w:t>
            </w:r>
          </w:p>
        </w:tc>
        <w:tc>
          <w:tcPr>
            <w:tcW w:w="1378" w:type="dxa"/>
            <w:vAlign w:val="center"/>
          </w:tcPr>
          <w:p w14:paraId="4B0298FE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5 348 000</w:t>
            </w:r>
          </w:p>
        </w:tc>
        <w:tc>
          <w:tcPr>
            <w:tcW w:w="1529" w:type="dxa"/>
            <w:vAlign w:val="center"/>
          </w:tcPr>
          <w:p w14:paraId="3DB4140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Województwo Łódzkie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0711C85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Wymagane jest uzyskanie pozytywnej opinii Głównego Geodety Kraju.</w:t>
            </w:r>
          </w:p>
          <w:p w14:paraId="4E5FFB3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5334A80C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CP1/(ii)</w:t>
            </w:r>
          </w:p>
        </w:tc>
      </w:tr>
      <w:tr w:rsidR="00F76D1B" w:rsidRPr="00F76D1B" w14:paraId="08B8A754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C9B371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7FF5D009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„Od pola do stołu”</w:t>
            </w: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br/>
              <w:t>Budowa centrum kulturalno-handlowo-usługowego Łódzka Hala Produktów Tradycyjnych i Lokalnych</w:t>
            </w:r>
          </w:p>
        </w:tc>
        <w:tc>
          <w:tcPr>
            <w:tcW w:w="902" w:type="dxa"/>
            <w:vAlign w:val="center"/>
          </w:tcPr>
          <w:p w14:paraId="143AEF3F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33F8EEAC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13 523 000</w:t>
            </w:r>
          </w:p>
        </w:tc>
        <w:tc>
          <w:tcPr>
            <w:tcW w:w="1378" w:type="dxa"/>
            <w:vAlign w:val="center"/>
          </w:tcPr>
          <w:p w14:paraId="6FE90B75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15 910 000</w:t>
            </w:r>
          </w:p>
        </w:tc>
        <w:tc>
          <w:tcPr>
            <w:tcW w:w="1529" w:type="dxa"/>
            <w:vAlign w:val="center"/>
          </w:tcPr>
          <w:p w14:paraId="5A69729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Województwo Łódzkie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A5D60F9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Możliwość realizacji przy zapewnieniu zgodności zakresu rzeczowego i celów projektu z warunkami 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wsparcia dla projektów w tym obszarze wynikającymi z Umowy Partnerstwa oraz odpowiednio Programu Regionalnego.</w:t>
            </w:r>
          </w:p>
          <w:p w14:paraId="0B5DF5B2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Warunki i kwota udzielonego dofinansowania muszą być zgodne z przepisami właściwymi dotyczącymi pomocy publicznej.</w:t>
            </w:r>
          </w:p>
          <w:p w14:paraId="2EA75AD9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6554FE9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CP2/(i)</w:t>
            </w:r>
          </w:p>
        </w:tc>
      </w:tr>
      <w:tr w:rsidR="00F76D1B" w:rsidRPr="00F76D1B" w14:paraId="0E9579B2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F7F046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78C96E1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Instalacja do termicznego przekształcania odpadów medycznych</w:t>
            </w:r>
          </w:p>
        </w:tc>
        <w:tc>
          <w:tcPr>
            <w:tcW w:w="902" w:type="dxa"/>
            <w:vAlign w:val="center"/>
          </w:tcPr>
          <w:p w14:paraId="62915F31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7DFDB7E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17 580 000</w:t>
            </w:r>
          </w:p>
        </w:tc>
        <w:tc>
          <w:tcPr>
            <w:tcW w:w="1378" w:type="dxa"/>
            <w:vAlign w:val="center"/>
          </w:tcPr>
          <w:p w14:paraId="09864390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20 682 000</w:t>
            </w:r>
          </w:p>
        </w:tc>
        <w:tc>
          <w:tcPr>
            <w:tcW w:w="1529" w:type="dxa"/>
            <w:vAlign w:val="center"/>
          </w:tcPr>
          <w:p w14:paraId="7EDAA8FA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Województwo Łódzkie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7B1E1D5" w14:textId="2783D968" w:rsidR="0019700B" w:rsidRPr="0019700B" w:rsidRDefault="0019700B" w:rsidP="0019700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1.</w:t>
            </w:r>
            <w:r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 </w:t>
            </w: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Przedsięwzięcie powinno wynikać z aktualnie obowiązującego wojewódzkiego planu gospodarki odpadami (WPGO).</w:t>
            </w:r>
          </w:p>
          <w:p w14:paraId="3E318644" w14:textId="3D90C8DF" w:rsidR="0019700B" w:rsidRPr="0019700B" w:rsidRDefault="0019700B" w:rsidP="0019700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2.</w:t>
            </w:r>
            <w:r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 </w:t>
            </w: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 xml:space="preserve">Realizacja przedsięwzięcia powinna być poparta i wynikać z analizy ekonomicznej i porównawczej wszelkich możliwych opcji uwzględniających: koszty utrzymania, amortyzacji, koszty alternatywne w postaci niezrealizowania innych inwestycji, analizę strumieni odpadów i zapotrzebowania na budowę instalacji w regionie (hierarchia postępowania z odpadami, przejście na </w:t>
            </w: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lastRenderedPageBreak/>
              <w:t>gospodarkę o obiegu zamkniętym, unikanie nadmiernych mocy przerobowych instalacji).</w:t>
            </w:r>
          </w:p>
          <w:p w14:paraId="358E80DD" w14:textId="7676E009" w:rsidR="00F76D1B" w:rsidRPr="0019700B" w:rsidRDefault="0019700B" w:rsidP="001970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19700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3. Inwestycje w zakresie termicznego przekształcania odpadów medycznych i weterynaryjnych nie będą obejmować odpadów nadających się do recyklingu.</w:t>
            </w:r>
          </w:p>
        </w:tc>
        <w:tc>
          <w:tcPr>
            <w:tcW w:w="1367" w:type="dxa"/>
            <w:vAlign w:val="center"/>
          </w:tcPr>
          <w:p w14:paraId="36F27594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CP2/(vi)</w:t>
            </w:r>
          </w:p>
        </w:tc>
      </w:tr>
      <w:tr w:rsidR="00F76D1B" w:rsidRPr="00F76D1B" w14:paraId="0F976E09" w14:textId="77777777" w:rsidTr="00C6120E">
        <w:trPr>
          <w:trHeight w:val="144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76A6DB8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ED5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„Ogrody Nauki” Centrum Rozwoju Nauk Ogrodniczych i Edukacji Ekologicznej (</w:t>
            </w:r>
            <w:proofErr w:type="spellStart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CRNOiEE</w:t>
            </w:r>
            <w:proofErr w:type="spellEnd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) w Skierniewicach: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D40A647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437C7C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32 937 000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AF93E1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38 750 000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6D0F0B8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Instytut Ogrodnictwa – Państwowy Instytut Badawczy / Województwo Łódzkie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AB4A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64B3E08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proofErr w:type="spellStart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nd</w:t>
            </w:r>
            <w:proofErr w:type="spellEnd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</w:t>
            </w:r>
          </w:p>
        </w:tc>
      </w:tr>
      <w:tr w:rsidR="00F76D1B" w:rsidRPr="00F76D1B" w14:paraId="69D1207E" w14:textId="77777777" w:rsidTr="00C6120E">
        <w:trPr>
          <w:trHeight w:val="41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F64FA6E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8196A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a. rewitalizacja obiektów zabytkowych „Osady Pałacowej”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CDFA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1BAD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14 615 000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03AC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17 194 000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C13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Instytut Ogrodnictwa – Państwowy Instytut Badawczy / Województwo Łódzkie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2BC1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Możliwość</w:t>
            </w: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realizacji przy zapewnieniu zgodności z warunkami obowiązującymi inwestycje w CP5, tj. wdrażanie poprzez Inny Instrument Terytorialny oparty na strategii terytorialnej (w przypadku rewitalizacji funkcję strategii IIT będzie pełnić Gminny Program Rewitalizacji).</w:t>
            </w:r>
          </w:p>
          <w:p w14:paraId="23C65D9D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Warunki i kwota udzielonego dofinansowania muszą być zgodne z właściwymi przepisami dotyczącymi pomocy publicznej.</w:t>
            </w:r>
          </w:p>
          <w:p w14:paraId="0C0202FD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Planuje się zastosowanie trybu niekonkurencyjnego.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6B2B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CP5/(i)</w:t>
            </w:r>
          </w:p>
        </w:tc>
      </w:tr>
      <w:tr w:rsidR="00F76D1B" w:rsidRPr="00F76D1B" w14:paraId="5AD6E510" w14:textId="77777777" w:rsidTr="00C6120E">
        <w:trPr>
          <w:trHeight w:val="151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6D873BE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CFE11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b. kształtowanie postaw proekologicznych i ochrona bioróżnorodności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94F0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D8EF5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9 727 000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229B1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11 444 000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6393B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Instytut Ogrodnictwa – Państwowy Instytut Badawczy / Województwo Łódzkie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E3C5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A586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CP2/(vii)</w:t>
            </w:r>
          </w:p>
        </w:tc>
      </w:tr>
      <w:tr w:rsidR="00F76D1B" w:rsidRPr="00F76D1B" w14:paraId="01711EF1" w14:textId="77777777" w:rsidTr="00C6120E">
        <w:trPr>
          <w:trHeight w:val="111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11E796C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4D936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c. budowa budynków pasywnych jako element edukacji ekologicznej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65ADB034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534D9A16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8 595 000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631D2265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10 112 000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6FBD65D0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Instytut Ogrodnictwa – Państwowy Instytut Badawczy / Województwo Łódzkie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7D6B2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Projekt realizowany w porozumieniu/partnerstwie Województwa oraz IO-PIB. Konieczność zapewnienia braku podwójnego finansowania przedsięwzięcia z projektami finansowanymi z poziomu krajowego.</w:t>
            </w:r>
          </w:p>
          <w:p w14:paraId="71F4477F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4367D55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CP2/(i)</w:t>
            </w:r>
          </w:p>
        </w:tc>
      </w:tr>
      <w:tr w:rsidR="00F76D1B" w:rsidRPr="00F76D1B" w14:paraId="2F7B32C8" w14:textId="77777777" w:rsidTr="00C6120E">
        <w:trPr>
          <w:trHeight w:val="31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BCA1F8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3E9E9D8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Centrum dydaktyczno-edukacyjne pn. „Kutnowska </w:t>
            </w:r>
            <w:proofErr w:type="spellStart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ECOsfera</w:t>
            </w:r>
            <w:proofErr w:type="spellEnd"/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902" w:type="dxa"/>
            <w:vAlign w:val="center"/>
          </w:tcPr>
          <w:p w14:paraId="660F3CB5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7198C9B6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4 625 000</w:t>
            </w:r>
          </w:p>
        </w:tc>
        <w:tc>
          <w:tcPr>
            <w:tcW w:w="1378" w:type="dxa"/>
            <w:vAlign w:val="center"/>
          </w:tcPr>
          <w:p w14:paraId="0D7F42C8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5 441 000</w:t>
            </w:r>
          </w:p>
        </w:tc>
        <w:tc>
          <w:tcPr>
            <w:tcW w:w="1529" w:type="dxa"/>
            <w:vAlign w:val="center"/>
          </w:tcPr>
          <w:p w14:paraId="6631A947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color w:val="000000"/>
                <w:sz w:val="18"/>
                <w:szCs w:val="24"/>
                <w:lang w:eastAsia="pl-PL"/>
              </w:rPr>
              <w:t>Powiat Kutnowski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A37F298" w14:textId="77777777" w:rsidR="00F76D1B" w:rsidRPr="00F76D1B" w:rsidRDefault="00F76D1B" w:rsidP="00F76D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</w:tc>
        <w:tc>
          <w:tcPr>
            <w:tcW w:w="1367" w:type="dxa"/>
            <w:vAlign w:val="center"/>
          </w:tcPr>
          <w:p w14:paraId="6F6276F9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CP2/(vii)</w:t>
            </w:r>
          </w:p>
        </w:tc>
      </w:tr>
      <w:tr w:rsidR="00F76D1B" w:rsidRPr="00F76D1B" w14:paraId="259BC2CB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57F41B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D3C744B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Centrum Edukacji Muzycznej Województwa Łódzkiego</w:t>
            </w:r>
          </w:p>
        </w:tc>
        <w:tc>
          <w:tcPr>
            <w:tcW w:w="902" w:type="dxa"/>
            <w:vAlign w:val="center"/>
          </w:tcPr>
          <w:p w14:paraId="73463BD5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1690" w:type="dxa"/>
            <w:vAlign w:val="center"/>
          </w:tcPr>
          <w:p w14:paraId="68724B5E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11 591 000</w:t>
            </w:r>
          </w:p>
        </w:tc>
        <w:tc>
          <w:tcPr>
            <w:tcW w:w="1378" w:type="dxa"/>
            <w:vAlign w:val="center"/>
          </w:tcPr>
          <w:p w14:paraId="03C2520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13 637 000</w:t>
            </w:r>
          </w:p>
        </w:tc>
        <w:tc>
          <w:tcPr>
            <w:tcW w:w="1529" w:type="dxa"/>
            <w:vAlign w:val="center"/>
          </w:tcPr>
          <w:p w14:paraId="50D2B50F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Województwo Łódzkie / Filharmonia Łódzka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E78CF59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Możliwość realizacji przy zapewnieniu zgodności zakresu rzeczowego i celów projektu z warunkami obowiązującymi inwestycje infrastrukturalne w CP4 wynikającymi z Umowy Partnerstwa oraz odpowiednio Programu Regionalnego.</w:t>
            </w:r>
          </w:p>
          <w:p w14:paraId="3BB76D7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Wymagane jest uzgodnienie zakresu projektu z Ministrem Kultury i Dziedzictwa </w:t>
            </w: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lastRenderedPageBreak/>
              <w:t>Narodowego jako organem współprowadzącym.</w:t>
            </w:r>
          </w:p>
          <w:p w14:paraId="06EE2EF1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Times New Roman"/>
                <w:sz w:val="18"/>
                <w:szCs w:val="24"/>
                <w:lang w:eastAsia="pl-PL"/>
              </w:rPr>
              <w:t>Warunki i kwota udzielonego dofinansowania muszą być zgodne z przepisami właściwymi dotyczącymi pomocy publicznej.</w:t>
            </w:r>
          </w:p>
          <w:p w14:paraId="7A8B9170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Planuje się zastosowanie trybu niekonkurencyjnego.</w:t>
            </w:r>
          </w:p>
          <w:p w14:paraId="5757773D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Projekt objęty odstępstwem od demarkacji zgodnie z załącznikiem nr 3 do Kontraktu.</w:t>
            </w:r>
          </w:p>
        </w:tc>
        <w:tc>
          <w:tcPr>
            <w:tcW w:w="1367" w:type="dxa"/>
            <w:vAlign w:val="center"/>
          </w:tcPr>
          <w:p w14:paraId="51863B3F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CP4/(vi)</w:t>
            </w:r>
          </w:p>
        </w:tc>
      </w:tr>
      <w:tr w:rsidR="00F76D1B" w:rsidRPr="00F76D1B" w14:paraId="6637889F" w14:textId="77777777" w:rsidTr="00C6120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38CB698" w14:textId="77777777" w:rsidR="00F76D1B" w:rsidRPr="00F76D1B" w:rsidRDefault="00F76D1B" w:rsidP="00F76D1B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357" w:hanging="357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2845BEAF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bookmarkStart w:id="3" w:name="_Hlk99111899"/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Aktywizacja zawodowa osób bezrobotnych 2023-2029 poprzez wsparcie rozwoju przedsiębiorczości</w:t>
            </w:r>
            <w:bookmarkEnd w:id="3"/>
          </w:p>
        </w:tc>
        <w:tc>
          <w:tcPr>
            <w:tcW w:w="902" w:type="dxa"/>
            <w:vAlign w:val="center"/>
          </w:tcPr>
          <w:p w14:paraId="16B114C5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1690" w:type="dxa"/>
            <w:vAlign w:val="center"/>
          </w:tcPr>
          <w:p w14:paraId="22769133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14:paraId="39AD1DE1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14:paraId="41601E19" w14:textId="77777777" w:rsidR="00F76D1B" w:rsidRPr="00F76D1B" w:rsidRDefault="00F76D1B" w:rsidP="00F76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Wojewódzki Urząd Pracy w Łodzi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F6F8B5D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1. Możliwość, zakres i warunki realizacji zgodne z warunkami obowiązującymi w CP4 wynikającymi z Umowy Partnerstwa.</w:t>
            </w:r>
          </w:p>
          <w:p w14:paraId="15421FF1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2. Przedsięwzięcie będzie realizowane na podstawie odstępstwa od linii demarkacyjnej, które zostało uzgodnione i ujęte w załączniku nr 3 do Kontraktu.</w:t>
            </w:r>
          </w:p>
          <w:p w14:paraId="24D01A06" w14:textId="77777777" w:rsidR="00F76D1B" w:rsidRPr="00F76D1B" w:rsidRDefault="00F76D1B" w:rsidP="00F76D1B">
            <w:pPr>
              <w:spacing w:after="0" w:line="276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>3. Możliwość zastosowania trybu niekonkurencyjnego po spełnieniu warunków określonych w art. 44 ustawy wdrożeniowej.</w:t>
            </w:r>
          </w:p>
        </w:tc>
        <w:tc>
          <w:tcPr>
            <w:tcW w:w="1367" w:type="dxa"/>
            <w:vAlign w:val="center"/>
          </w:tcPr>
          <w:p w14:paraId="5E8317DE" w14:textId="77777777" w:rsidR="00F76D1B" w:rsidRPr="00F76D1B" w:rsidRDefault="00F76D1B" w:rsidP="00F76D1B">
            <w:pPr>
              <w:spacing w:after="120" w:line="276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F76D1B">
              <w:rPr>
                <w:rFonts w:ascii="Century Gothic" w:eastAsia="Times New Roman" w:hAnsi="Century Gothic" w:cs="Calibri"/>
                <w:bCs/>
                <w:sz w:val="18"/>
                <w:szCs w:val="18"/>
                <w:lang w:eastAsia="pl-PL"/>
              </w:rPr>
              <w:t xml:space="preserve">CP4/(a) </w:t>
            </w:r>
          </w:p>
        </w:tc>
      </w:tr>
    </w:tbl>
    <w:p w14:paraId="2B4899D9" w14:textId="1E46E32C" w:rsidR="005F0C82" w:rsidRDefault="005F0C82">
      <w:pPr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2085D857" w14:textId="78DCDEA6" w:rsidR="005F0C82" w:rsidRPr="008A0C4E" w:rsidRDefault="005F0C82" w:rsidP="005F0C82">
      <w:pPr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 xml:space="preserve">Załącznik </w:t>
      </w:r>
      <w:r w:rsidR="0001196F" w:rsidRPr="008A0C4E">
        <w:rPr>
          <w:rFonts w:ascii="Century Gothic" w:hAnsi="Century Gothic"/>
          <w:sz w:val="20"/>
          <w:szCs w:val="20"/>
        </w:rPr>
        <w:t>nr 4</w:t>
      </w:r>
    </w:p>
    <w:p w14:paraId="3B007FCA" w14:textId="77777777" w:rsidR="005F0C82" w:rsidRPr="005F0C82" w:rsidRDefault="005F0C82" w:rsidP="005F0C82">
      <w:pPr>
        <w:spacing w:after="200" w:line="276" w:lineRule="auto"/>
        <w:rPr>
          <w:rFonts w:ascii="Century Gothic" w:eastAsia="Calibri" w:hAnsi="Century Gothic" w:cs="Calibri"/>
          <w:bCs/>
          <w:i/>
          <w:sz w:val="18"/>
          <w:szCs w:val="18"/>
        </w:rPr>
      </w:pPr>
      <w:r w:rsidRPr="005F0C82">
        <w:rPr>
          <w:rFonts w:ascii="Century Gothic" w:eastAsia="Calibri" w:hAnsi="Century Gothic" w:cs="Calibri"/>
          <w:bCs/>
          <w:i/>
          <w:sz w:val="18"/>
          <w:szCs w:val="18"/>
        </w:rPr>
        <w:t>Harmonogram wydatków wynikających z podpisanych umów w ramach budżetu państwa i budżetu środków europejskich</w:t>
      </w:r>
    </w:p>
    <w:p w14:paraId="1D3340BA" w14:textId="77777777" w:rsidR="005F0C82" w:rsidRPr="005F0C82" w:rsidRDefault="005F0C82" w:rsidP="005F0C82">
      <w:pPr>
        <w:spacing w:after="200" w:line="276" w:lineRule="auto"/>
        <w:rPr>
          <w:rFonts w:ascii="Century Gothic" w:eastAsia="Calibri" w:hAnsi="Century Gothic" w:cs="Calibri"/>
          <w:bCs/>
          <w:sz w:val="18"/>
          <w:szCs w:val="18"/>
        </w:rPr>
      </w:pPr>
      <w:r w:rsidRPr="005F0C82">
        <w:rPr>
          <w:rFonts w:ascii="Century Gothic" w:eastAsia="Calibri" w:hAnsi="Century Gothic" w:cs="Calibri"/>
          <w:bCs/>
          <w:sz w:val="18"/>
          <w:szCs w:val="18"/>
        </w:rPr>
        <w:t>Harmonogram wydatków nr … wynikających z podpisanych umów w ramach budżetu państwa i budżetu środków europejskich według stanu na dzień …</w:t>
      </w:r>
      <w:r w:rsidRPr="005F0C82">
        <w:rPr>
          <w:rFonts w:ascii="Century Gothic" w:eastAsia="Calibri" w:hAnsi="Century Gothic" w:cs="Calibri"/>
          <w:bCs/>
          <w:sz w:val="18"/>
          <w:szCs w:val="18"/>
          <w:vertAlign w:val="superscript"/>
        </w:rPr>
        <w:t>**)</w:t>
      </w:r>
      <w:r w:rsidRPr="005F0C82">
        <w:rPr>
          <w:rFonts w:ascii="Century Gothic" w:eastAsia="Calibri" w:hAnsi="Century Gothic" w:cs="Calibri"/>
          <w:sz w:val="18"/>
          <w:szCs w:val="18"/>
        </w:rPr>
        <w:t> </w:t>
      </w: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615"/>
        <w:gridCol w:w="540"/>
        <w:gridCol w:w="758"/>
        <w:gridCol w:w="797"/>
        <w:gridCol w:w="705"/>
        <w:gridCol w:w="737"/>
        <w:gridCol w:w="105"/>
        <w:gridCol w:w="603"/>
        <w:gridCol w:w="140"/>
        <w:gridCol w:w="564"/>
        <w:gridCol w:w="708"/>
        <w:gridCol w:w="164"/>
        <w:gridCol w:w="466"/>
        <w:gridCol w:w="122"/>
        <w:gridCol w:w="672"/>
        <w:gridCol w:w="278"/>
        <w:gridCol w:w="430"/>
        <w:gridCol w:w="290"/>
        <w:gridCol w:w="842"/>
        <w:gridCol w:w="496"/>
        <w:gridCol w:w="308"/>
        <w:gridCol w:w="564"/>
        <w:gridCol w:w="418"/>
        <w:gridCol w:w="278"/>
        <w:gridCol w:w="496"/>
        <w:gridCol w:w="355"/>
        <w:gridCol w:w="460"/>
        <w:gridCol w:w="367"/>
        <w:gridCol w:w="388"/>
        <w:gridCol w:w="39"/>
      </w:tblGrid>
      <w:tr w:rsidR="008A0C4E" w:rsidRPr="005F0C82" w14:paraId="42E715D2" w14:textId="77777777" w:rsidTr="008A0C4E">
        <w:trPr>
          <w:gridAfter w:val="1"/>
          <w:wAfter w:w="10" w:type="pct"/>
          <w:trHeight w:val="102"/>
        </w:trPr>
        <w:tc>
          <w:tcPr>
            <w:tcW w:w="797" w:type="pct"/>
            <w:gridSpan w:val="3"/>
            <w:shd w:val="clear" w:color="auto" w:fill="auto"/>
            <w:noWrap/>
          </w:tcPr>
          <w:p w14:paraId="5246D8F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bookmarkStart w:id="4" w:name="_Hlk131513296"/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Województwo:</w:t>
            </w:r>
          </w:p>
        </w:tc>
        <w:tc>
          <w:tcPr>
            <w:tcW w:w="254" w:type="pct"/>
            <w:shd w:val="clear" w:color="auto" w:fill="auto"/>
            <w:noWrap/>
          </w:tcPr>
          <w:p w14:paraId="02FE5AD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14:paraId="72EECAA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</w:tcPr>
          <w:p w14:paraId="4DE17AD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auto"/>
          </w:tcPr>
          <w:p w14:paraId="5E32FCA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6513450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14:paraId="2F4BAD0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14:paraId="053ABC9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960CF4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51FCD75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6BDF25A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B4AF8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F37B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A627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0656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E985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690A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925A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0ED9522A" w14:textId="77777777" w:rsidTr="008A0C4E">
        <w:trPr>
          <w:gridAfter w:val="1"/>
          <w:wAfter w:w="10" w:type="pct"/>
          <w:trHeight w:val="279"/>
        </w:trPr>
        <w:tc>
          <w:tcPr>
            <w:tcW w:w="797" w:type="pct"/>
            <w:gridSpan w:val="3"/>
            <w:shd w:val="clear" w:color="auto" w:fill="auto"/>
            <w:noWrap/>
            <w:hideMark/>
          </w:tcPr>
          <w:p w14:paraId="363CE72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Rok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597C1F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2021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09CBA04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2022</w:t>
            </w:r>
          </w:p>
        </w:tc>
        <w:tc>
          <w:tcPr>
            <w:tcW w:w="236" w:type="pct"/>
            <w:shd w:val="clear" w:color="auto" w:fill="auto"/>
            <w:hideMark/>
          </w:tcPr>
          <w:p w14:paraId="63D0A2C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2023</w:t>
            </w:r>
          </w:p>
        </w:tc>
        <w:tc>
          <w:tcPr>
            <w:tcW w:w="247" w:type="pct"/>
            <w:shd w:val="clear" w:color="auto" w:fill="auto"/>
            <w:hideMark/>
          </w:tcPr>
          <w:p w14:paraId="5602789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2024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14:paraId="37D975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2025</w:t>
            </w:r>
          </w:p>
        </w:tc>
        <w:tc>
          <w:tcPr>
            <w:tcW w:w="236" w:type="pct"/>
            <w:gridSpan w:val="2"/>
            <w:shd w:val="clear" w:color="auto" w:fill="auto"/>
            <w:hideMark/>
          </w:tcPr>
          <w:p w14:paraId="2C7E7DC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2026</w:t>
            </w:r>
          </w:p>
        </w:tc>
        <w:tc>
          <w:tcPr>
            <w:tcW w:w="237" w:type="pct"/>
            <w:shd w:val="clear" w:color="auto" w:fill="auto"/>
            <w:hideMark/>
          </w:tcPr>
          <w:p w14:paraId="0BAB3A6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2027</w:t>
            </w:r>
          </w:p>
        </w:tc>
        <w:tc>
          <w:tcPr>
            <w:tcW w:w="252" w:type="pct"/>
            <w:gridSpan w:val="3"/>
            <w:shd w:val="clear" w:color="auto" w:fill="auto"/>
            <w:hideMark/>
          </w:tcPr>
          <w:p w14:paraId="42ECE4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2028</w:t>
            </w:r>
          </w:p>
        </w:tc>
        <w:tc>
          <w:tcPr>
            <w:tcW w:w="225" w:type="pct"/>
            <w:shd w:val="clear" w:color="auto" w:fill="auto"/>
            <w:hideMark/>
          </w:tcPr>
          <w:p w14:paraId="1507D7B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2029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14:paraId="68EBB56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2030</w:t>
            </w:r>
          </w:p>
        </w:tc>
        <w:tc>
          <w:tcPr>
            <w:tcW w:w="37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359A875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2021-2030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47999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B5B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ACA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82F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568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5AD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12E3B5DB" w14:textId="77777777" w:rsidTr="008A0C4E">
        <w:trPr>
          <w:gridAfter w:val="1"/>
          <w:wAfter w:w="10" w:type="pct"/>
          <w:trHeight w:val="265"/>
        </w:trPr>
        <w:tc>
          <w:tcPr>
            <w:tcW w:w="797" w:type="pct"/>
            <w:gridSpan w:val="3"/>
            <w:shd w:val="clear" w:color="auto" w:fill="auto"/>
            <w:hideMark/>
          </w:tcPr>
          <w:p w14:paraId="4231CE2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środków europejskich – EFRR</w:t>
            </w:r>
          </w:p>
        </w:tc>
        <w:tc>
          <w:tcPr>
            <w:tcW w:w="254" w:type="pct"/>
            <w:shd w:val="clear" w:color="auto" w:fill="auto"/>
          </w:tcPr>
          <w:p w14:paraId="0BBD9CA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14:paraId="042FBC9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</w:tcPr>
          <w:p w14:paraId="366395D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auto"/>
          </w:tcPr>
          <w:p w14:paraId="257966C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</w:tcPr>
          <w:p w14:paraId="3D67AC5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14:paraId="4D4A6DB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14:paraId="3B604B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shd w:val="clear" w:color="auto" w:fill="auto"/>
            <w:noWrap/>
          </w:tcPr>
          <w:p w14:paraId="7835441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2E827AB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5EAA1C8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F15A91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055BE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B63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DA1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6F7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891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153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7EAE1D72" w14:textId="77777777" w:rsidTr="008A0C4E">
        <w:trPr>
          <w:gridAfter w:val="1"/>
          <w:wAfter w:w="10" w:type="pct"/>
          <w:trHeight w:val="173"/>
        </w:trPr>
        <w:tc>
          <w:tcPr>
            <w:tcW w:w="797" w:type="pct"/>
            <w:gridSpan w:val="3"/>
            <w:shd w:val="clear" w:color="auto" w:fill="auto"/>
            <w:hideMark/>
          </w:tcPr>
          <w:p w14:paraId="44C44D3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środków europejskich – EFS+</w:t>
            </w:r>
          </w:p>
        </w:tc>
        <w:tc>
          <w:tcPr>
            <w:tcW w:w="254" w:type="pct"/>
            <w:shd w:val="clear" w:color="auto" w:fill="auto"/>
          </w:tcPr>
          <w:p w14:paraId="39D38C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14:paraId="03C2E4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</w:tcPr>
          <w:p w14:paraId="66C2B53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auto"/>
          </w:tcPr>
          <w:p w14:paraId="56AFDE7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</w:tcPr>
          <w:p w14:paraId="33F67E5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14:paraId="125A3DF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14:paraId="2B078BC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shd w:val="clear" w:color="auto" w:fill="auto"/>
            <w:noWrap/>
          </w:tcPr>
          <w:p w14:paraId="5B8994A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48198CB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1737F01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58038C1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22E68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0F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A8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D79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1AC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BB9A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70C80DD4" w14:textId="77777777" w:rsidTr="008A0C4E">
        <w:trPr>
          <w:gridAfter w:val="1"/>
          <w:wAfter w:w="10" w:type="pct"/>
          <w:trHeight w:val="365"/>
        </w:trPr>
        <w:tc>
          <w:tcPr>
            <w:tcW w:w="797" w:type="pct"/>
            <w:gridSpan w:val="3"/>
            <w:shd w:val="clear" w:color="auto" w:fill="auto"/>
          </w:tcPr>
          <w:p w14:paraId="78ACA04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środków europejskich – FST</w:t>
            </w:r>
          </w:p>
        </w:tc>
        <w:tc>
          <w:tcPr>
            <w:tcW w:w="254" w:type="pct"/>
            <w:shd w:val="clear" w:color="auto" w:fill="auto"/>
          </w:tcPr>
          <w:p w14:paraId="118D224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14:paraId="6E69B67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</w:tcPr>
          <w:p w14:paraId="6889F2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auto"/>
          </w:tcPr>
          <w:p w14:paraId="0F389B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</w:tcPr>
          <w:p w14:paraId="09C1BCC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14:paraId="6874835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14:paraId="58DFD1B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shd w:val="clear" w:color="auto" w:fill="auto"/>
            <w:noWrap/>
          </w:tcPr>
          <w:p w14:paraId="1D7E026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062FBD0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7072AC0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3F3CA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06828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B116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360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122A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A642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70E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0C1CA697" w14:textId="77777777" w:rsidTr="008A0C4E">
        <w:trPr>
          <w:gridAfter w:val="1"/>
          <w:wAfter w:w="10" w:type="pct"/>
          <w:trHeight w:val="542"/>
        </w:trPr>
        <w:tc>
          <w:tcPr>
            <w:tcW w:w="797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5C77BF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finansowanie wkładu krajowego – EFRR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14:paraId="10EBBFF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F3075F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412B768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</w:tcPr>
          <w:p w14:paraId="3B6DF58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71EF0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B99F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14:paraId="667F4C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A524A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267B258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C961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0AE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6B421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399A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EDD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3E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165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3CC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6C564098" w14:textId="77777777" w:rsidTr="008A0C4E">
        <w:trPr>
          <w:gridAfter w:val="1"/>
          <w:wAfter w:w="10" w:type="pct"/>
          <w:trHeight w:val="482"/>
        </w:trPr>
        <w:tc>
          <w:tcPr>
            <w:tcW w:w="7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2FB1D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Budżet państwa – finansowanie wkładu krajowego – EFS+ 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14:paraId="3AC66DC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96E61F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4AB1A93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</w:tcPr>
          <w:p w14:paraId="1CB62E7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1C35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F528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14:paraId="741D8C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A2641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6CE7468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9D0B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838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D8AE8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C905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A39E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BA30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A8DE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3880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5B538E45" w14:textId="77777777" w:rsidTr="008A0C4E">
        <w:trPr>
          <w:gridAfter w:val="1"/>
          <w:wAfter w:w="10" w:type="pct"/>
          <w:trHeight w:val="423"/>
        </w:trPr>
        <w:tc>
          <w:tcPr>
            <w:tcW w:w="7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F8EF1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finansowanie wkładu krajowego – FST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14:paraId="3FF8561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50B6DF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1285C29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</w:tcPr>
          <w:p w14:paraId="308707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31E22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D156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14:paraId="73EB159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72CE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547249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7A741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5FD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E5C0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D61F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4306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09F1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391B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8FB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1A9AD6FF" w14:textId="77777777" w:rsidTr="008A0C4E">
        <w:trPr>
          <w:gridAfter w:val="1"/>
          <w:wAfter w:w="10" w:type="pct"/>
          <w:trHeight w:val="504"/>
        </w:trPr>
        <w:tc>
          <w:tcPr>
            <w:tcW w:w="7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D3F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pomoc techniczna – EFRR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0AD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FA0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E16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6C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F38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8FC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9F0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CD2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72EA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970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01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8BFCB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B322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FE03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032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AEE5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5A2F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11094061" w14:textId="77777777" w:rsidTr="008A0C4E">
        <w:trPr>
          <w:gridAfter w:val="1"/>
          <w:wAfter w:w="10" w:type="pct"/>
          <w:trHeight w:val="586"/>
        </w:trPr>
        <w:tc>
          <w:tcPr>
            <w:tcW w:w="7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BD9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pomoc techniczna – EFS+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2D1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AB4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165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8AC4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E62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2F2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9B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370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8E0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14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E10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50C56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2E3A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45D9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6BD6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DBD1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BE19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72C965A0" w14:textId="77777777" w:rsidTr="008A0C4E">
        <w:trPr>
          <w:gridAfter w:val="1"/>
          <w:wAfter w:w="10" w:type="pct"/>
          <w:trHeight w:val="243"/>
        </w:trPr>
        <w:tc>
          <w:tcPr>
            <w:tcW w:w="7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7C3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pomoc techniczna – FST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2B0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AE5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71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9D4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CDD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457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D5B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E43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973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5AF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C03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EC31C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E838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96D0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415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DB57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6D1B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3D44F51E" w14:textId="77777777" w:rsidTr="008A0C4E">
        <w:trPr>
          <w:gridAfter w:val="1"/>
          <w:wAfter w:w="10" w:type="pct"/>
          <w:trHeight w:val="50"/>
        </w:trPr>
        <w:tc>
          <w:tcPr>
            <w:tcW w:w="7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1C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SUMA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537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C8D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32E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B9D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D1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949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67D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8C1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96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565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ABE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13F51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5F5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BE99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0C9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E87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A3C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5890A21B" w14:textId="77777777" w:rsidTr="008A0C4E">
        <w:trPr>
          <w:gridAfter w:val="1"/>
          <w:wAfter w:w="10" w:type="pct"/>
          <w:trHeight w:val="315"/>
        </w:trPr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C41F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C425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6BE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E540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ED0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FBA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6AB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BBC4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1E6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2B4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60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0896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94B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5D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58E0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6EA1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CFF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1FE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29A5F560" w14:textId="77777777" w:rsidTr="008A0C4E">
        <w:trPr>
          <w:gridAfter w:val="1"/>
          <w:wAfter w:w="10" w:type="pct"/>
          <w:trHeight w:val="315"/>
        </w:trPr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C0B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W tym rok:</w:t>
            </w: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  <w:vertAlign w:val="superscript"/>
              </w:rPr>
              <w:t>*</w:t>
            </w:r>
            <w:r w:rsidRPr="005F0C82">
              <w:rPr>
                <w:rFonts w:ascii="Century Gothic" w:eastAsia="Calibri" w:hAnsi="Century Gothic" w:cs="Calibr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532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B5EA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0CA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568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7B21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8F56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35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9BB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2D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D65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1C4A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413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7D9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2D4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B65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2EE4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653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37C9BDFC" w14:textId="77777777" w:rsidTr="008A0C4E">
        <w:trPr>
          <w:gridAfter w:val="1"/>
          <w:wAfter w:w="10" w:type="pct"/>
          <w:trHeight w:val="315"/>
        </w:trPr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112DE" w14:textId="77777777" w:rsid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  <w:p w14:paraId="5EC31EEB" w14:textId="4C0590E6" w:rsidR="00865642" w:rsidRPr="005F0C82" w:rsidRDefault="0086564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5FC4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D1B7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4A4F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A4D4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2C48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A49E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315F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E81C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6132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980C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F3D2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A8EC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3972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A4B2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1A91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0278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A2A6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5F0C82" w:rsidRPr="005F0C82" w14:paraId="3F56A5AC" w14:textId="77777777" w:rsidTr="008A0C4E">
        <w:trPr>
          <w:trHeight w:val="330"/>
        </w:trPr>
        <w:tc>
          <w:tcPr>
            <w:tcW w:w="5000" w:type="pct"/>
            <w:gridSpan w:val="31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8A3D1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ŚRODKÓW EUROPEJSKICH</w:t>
            </w:r>
          </w:p>
        </w:tc>
      </w:tr>
      <w:tr w:rsidR="008A0C4E" w:rsidRPr="005F0C82" w14:paraId="4969960B" w14:textId="77777777" w:rsidTr="008A0C4E">
        <w:trPr>
          <w:gridAfter w:val="1"/>
          <w:wAfter w:w="12" w:type="pct"/>
          <w:trHeight w:val="765"/>
        </w:trPr>
        <w:tc>
          <w:tcPr>
            <w:tcW w:w="410" w:type="pct"/>
            <w:shd w:val="clear" w:color="auto" w:fill="auto"/>
            <w:hideMark/>
          </w:tcPr>
          <w:p w14:paraId="7A1E9D2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Instytucja podpisująca umowy z beneficjentami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03801A6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Część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648148C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Dział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ED16A4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Rozdział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52E644C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Paragraf</w:t>
            </w:r>
          </w:p>
        </w:tc>
        <w:tc>
          <w:tcPr>
            <w:tcW w:w="236" w:type="pct"/>
            <w:shd w:val="clear" w:color="auto" w:fill="auto"/>
            <w:hideMark/>
          </w:tcPr>
          <w:p w14:paraId="66E8BE0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styczeń</w:t>
            </w:r>
          </w:p>
        </w:tc>
        <w:tc>
          <w:tcPr>
            <w:tcW w:w="282" w:type="pct"/>
            <w:gridSpan w:val="2"/>
            <w:shd w:val="clear" w:color="auto" w:fill="auto"/>
            <w:hideMark/>
          </w:tcPr>
          <w:p w14:paraId="09D041C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luty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14:paraId="1577701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marzec</w:t>
            </w:r>
          </w:p>
        </w:tc>
        <w:tc>
          <w:tcPr>
            <w:tcW w:w="481" w:type="pct"/>
            <w:gridSpan w:val="3"/>
            <w:shd w:val="clear" w:color="auto" w:fill="auto"/>
            <w:hideMark/>
          </w:tcPr>
          <w:p w14:paraId="221305A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kwiecień</w:t>
            </w:r>
          </w:p>
        </w:tc>
        <w:tc>
          <w:tcPr>
            <w:tcW w:w="156" w:type="pct"/>
            <w:shd w:val="clear" w:color="auto" w:fill="auto"/>
            <w:hideMark/>
          </w:tcPr>
          <w:p w14:paraId="4ECDC55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maj</w:t>
            </w:r>
          </w:p>
        </w:tc>
        <w:tc>
          <w:tcPr>
            <w:tcW w:w="359" w:type="pct"/>
            <w:gridSpan w:val="3"/>
            <w:shd w:val="clear" w:color="auto" w:fill="auto"/>
            <w:hideMark/>
          </w:tcPr>
          <w:p w14:paraId="47179DD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czerwiec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14:paraId="700F7D7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lipiec</w:t>
            </w:r>
          </w:p>
        </w:tc>
        <w:tc>
          <w:tcPr>
            <w:tcW w:w="282" w:type="pct"/>
            <w:shd w:val="clear" w:color="auto" w:fill="auto"/>
            <w:hideMark/>
          </w:tcPr>
          <w:p w14:paraId="1D4D7D8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sierpień</w:t>
            </w:r>
          </w:p>
        </w:tc>
        <w:tc>
          <w:tcPr>
            <w:tcW w:w="269" w:type="pct"/>
            <w:gridSpan w:val="2"/>
            <w:shd w:val="clear" w:color="auto" w:fill="auto"/>
            <w:hideMark/>
          </w:tcPr>
          <w:p w14:paraId="40D54D2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wrzesień</w:t>
            </w:r>
          </w:p>
        </w:tc>
        <w:tc>
          <w:tcPr>
            <w:tcW w:w="329" w:type="pct"/>
            <w:gridSpan w:val="2"/>
            <w:shd w:val="clear" w:color="auto" w:fill="auto"/>
            <w:hideMark/>
          </w:tcPr>
          <w:p w14:paraId="51FEACD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październik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14:paraId="3239606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listopad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14:paraId="5E339D3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grudzień</w:t>
            </w:r>
          </w:p>
        </w:tc>
        <w:tc>
          <w:tcPr>
            <w:tcW w:w="252" w:type="pct"/>
            <w:gridSpan w:val="2"/>
            <w:shd w:val="clear" w:color="auto" w:fill="auto"/>
            <w:hideMark/>
          </w:tcPr>
          <w:p w14:paraId="7D232C5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Razem</w:t>
            </w:r>
          </w:p>
        </w:tc>
      </w:tr>
      <w:tr w:rsidR="008A0C4E" w:rsidRPr="005F0C82" w14:paraId="2EF1EFE9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72AE0EE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1A7F2EE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1C38271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1418EC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3B0E485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2DF953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50F9841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0F4D923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2DF0223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705DCC6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59779A9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5C730AA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446C29B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0489402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206ED68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572817D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38283C9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AA88B3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300C167B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128D8E3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5B94D1C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773FBEC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38737E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55778D2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666FDA6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6C1A80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4FB51C1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72045A7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2C0FE14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7842041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17A388A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77BF0FD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77CE9CE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4C65BA4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75A7515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2EE7540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B8ECAE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6AE31457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5AC736A3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2787EFC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2506294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7869E13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10F271D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40073EF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71078A7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4957869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3DD331D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6A2BB68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2A0761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782C4FD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56FEC90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07733C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6147EC84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2490448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4DA15FF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2EC0CD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4B5096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60361C2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16E2709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0807013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0FC66E1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4A79B99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3AD2159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2893617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390E74E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7AA8CDD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8ED82D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0AC1C5A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46C7829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6EE8965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6BDB909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1CFE0F37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1F496C2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5EC7ED9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36F27B4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F6FCF8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4F78154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4CD50BF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24393EB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432835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7891624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7C74041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09CD356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20877F6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093030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18C13EF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4898965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20CC6BF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5D5591F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36CE221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5B87BCDA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599A826D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178A7A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3688420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2458EAF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023BE8D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4F5F6BE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1ABB257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1898CE4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392D316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15CE546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2788CE8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46680C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20B277D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9AC215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68100656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0164E485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SUMA: </w:t>
            </w:r>
          </w:p>
        </w:tc>
        <w:tc>
          <w:tcPr>
            <w:tcW w:w="236" w:type="pct"/>
            <w:shd w:val="clear" w:color="auto" w:fill="auto"/>
            <w:noWrap/>
          </w:tcPr>
          <w:p w14:paraId="169F765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7E8ADD8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3060D8F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0E718E2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3567F82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70A836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003A056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4CEDC05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57F8C2D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D57964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242D42B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77662CC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25D143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5F0C82" w:rsidRPr="005F0C82" w14:paraId="4D8ABBF9" w14:textId="77777777" w:rsidTr="008A0C4E">
        <w:trPr>
          <w:trHeight w:val="330"/>
        </w:trPr>
        <w:tc>
          <w:tcPr>
            <w:tcW w:w="5000" w:type="pct"/>
            <w:gridSpan w:val="31"/>
            <w:shd w:val="clear" w:color="auto" w:fill="auto"/>
            <w:noWrap/>
            <w:hideMark/>
          </w:tcPr>
          <w:p w14:paraId="49D00CE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FINANSOWANIE</w:t>
            </w: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 xml:space="preserve"> WKŁADU KRAJOWEGO</w:t>
            </w:r>
          </w:p>
        </w:tc>
      </w:tr>
      <w:tr w:rsidR="008A0C4E" w:rsidRPr="005F0C82" w14:paraId="594F05E4" w14:textId="77777777" w:rsidTr="008A0C4E">
        <w:trPr>
          <w:gridAfter w:val="1"/>
          <w:wAfter w:w="12" w:type="pct"/>
          <w:trHeight w:val="765"/>
        </w:trPr>
        <w:tc>
          <w:tcPr>
            <w:tcW w:w="410" w:type="pct"/>
            <w:shd w:val="clear" w:color="auto" w:fill="auto"/>
            <w:hideMark/>
          </w:tcPr>
          <w:p w14:paraId="5E5A2E0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Instytucja podpisująca umowy z beneficjentami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44A586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Część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1D24194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Dział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CE9E24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Rozdział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039992F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Paragraf</w:t>
            </w:r>
          </w:p>
        </w:tc>
        <w:tc>
          <w:tcPr>
            <w:tcW w:w="236" w:type="pct"/>
            <w:shd w:val="clear" w:color="auto" w:fill="auto"/>
            <w:hideMark/>
          </w:tcPr>
          <w:p w14:paraId="35A795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styczeń</w:t>
            </w:r>
          </w:p>
        </w:tc>
        <w:tc>
          <w:tcPr>
            <w:tcW w:w="282" w:type="pct"/>
            <w:gridSpan w:val="2"/>
            <w:shd w:val="clear" w:color="auto" w:fill="auto"/>
            <w:hideMark/>
          </w:tcPr>
          <w:p w14:paraId="791D2B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luty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14:paraId="6F18D05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marzec</w:t>
            </w:r>
          </w:p>
        </w:tc>
        <w:tc>
          <w:tcPr>
            <w:tcW w:w="481" w:type="pct"/>
            <w:gridSpan w:val="3"/>
            <w:shd w:val="clear" w:color="auto" w:fill="auto"/>
            <w:hideMark/>
          </w:tcPr>
          <w:p w14:paraId="25FD734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kwiecień</w:t>
            </w:r>
          </w:p>
        </w:tc>
        <w:tc>
          <w:tcPr>
            <w:tcW w:w="156" w:type="pct"/>
            <w:shd w:val="clear" w:color="auto" w:fill="auto"/>
            <w:hideMark/>
          </w:tcPr>
          <w:p w14:paraId="073CEE6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maj</w:t>
            </w:r>
          </w:p>
        </w:tc>
        <w:tc>
          <w:tcPr>
            <w:tcW w:w="359" w:type="pct"/>
            <w:gridSpan w:val="3"/>
            <w:shd w:val="clear" w:color="auto" w:fill="auto"/>
            <w:hideMark/>
          </w:tcPr>
          <w:p w14:paraId="4793677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czerwiec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14:paraId="7CF556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lipiec</w:t>
            </w:r>
          </w:p>
        </w:tc>
        <w:tc>
          <w:tcPr>
            <w:tcW w:w="282" w:type="pct"/>
            <w:shd w:val="clear" w:color="auto" w:fill="auto"/>
            <w:hideMark/>
          </w:tcPr>
          <w:p w14:paraId="6AFD0E3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sierpień</w:t>
            </w:r>
          </w:p>
        </w:tc>
        <w:tc>
          <w:tcPr>
            <w:tcW w:w="269" w:type="pct"/>
            <w:gridSpan w:val="2"/>
            <w:shd w:val="clear" w:color="auto" w:fill="auto"/>
            <w:hideMark/>
          </w:tcPr>
          <w:p w14:paraId="0917DF4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wrzesień</w:t>
            </w:r>
          </w:p>
        </w:tc>
        <w:tc>
          <w:tcPr>
            <w:tcW w:w="329" w:type="pct"/>
            <w:gridSpan w:val="2"/>
            <w:shd w:val="clear" w:color="auto" w:fill="auto"/>
            <w:hideMark/>
          </w:tcPr>
          <w:p w14:paraId="73DC70C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październik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14:paraId="6ADFEDB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listopad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14:paraId="2BAF7AE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grudzień</w:t>
            </w:r>
          </w:p>
        </w:tc>
        <w:tc>
          <w:tcPr>
            <w:tcW w:w="252" w:type="pct"/>
            <w:gridSpan w:val="2"/>
            <w:shd w:val="clear" w:color="auto" w:fill="auto"/>
            <w:hideMark/>
          </w:tcPr>
          <w:p w14:paraId="060A6EF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Razem</w:t>
            </w:r>
          </w:p>
        </w:tc>
      </w:tr>
      <w:tr w:rsidR="008A0C4E" w:rsidRPr="005F0C82" w14:paraId="7A07CF5E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47A1DCB6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279D06A3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E1470DB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13A7301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3A5AA0FD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41DEE985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1FB16FEE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751FC46A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5EBF173C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63EB3508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515E64BF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2D4BE25B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53379745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16B32695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1DBE6E9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1C366F1C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6F513F63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1AF9BE57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A0C4E" w:rsidRPr="005F0C82" w14:paraId="46274F40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18AB3918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7BBA0F94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2BF49402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0DED24A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5F36383F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F0C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3E18C126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56B696BC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35C19286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5E1EEB8E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633F8E5C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18454F38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35FCCB1F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3E092B72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00D47D53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2D88283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7713BF9E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4BAB08A8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B780366" w14:textId="77777777" w:rsidR="005F0C82" w:rsidRPr="005F0C82" w:rsidRDefault="005F0C82" w:rsidP="005F0C8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A0C4E" w:rsidRPr="005F0C82" w14:paraId="4EA3246D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6D181301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4F9DF58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79E08F0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36DB399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133C0A4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01630BC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4FC79DC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37FD600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0E5A6F8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E742B6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09B13D0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6F7FC52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13BB7A8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1A58759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8A0C4E" w:rsidRPr="005F0C82" w14:paraId="5490FC2D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63B940E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54FB35C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44A1F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AA865E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5959D29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65F0C0D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602418E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63DD4E3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3C0E28B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063D9A3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0451719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437E95C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6A43CAE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45CCE0A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5FD4535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6F8E32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3D3563E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444635F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4FE0E57E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5927341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50057BB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7D67176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6F8DB8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440A841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627B1DA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282E918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1D9292E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1B1BA3F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0E6DAC4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2076AAB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0380B5B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7BC798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326C64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1906A7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4C51B35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755B107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41936D9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10AD9689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01D0FB3A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49429B7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1B53E5D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7CA4B13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552F2B2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0D96419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58601FD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7AB171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045AA23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240E1CF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4C7A8C7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146BB5C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0329798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6926CDA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8A0C4E" w:rsidRPr="005F0C82" w14:paraId="212EEF0E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6E74B5B9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SUMA: </w:t>
            </w:r>
          </w:p>
        </w:tc>
        <w:tc>
          <w:tcPr>
            <w:tcW w:w="236" w:type="pct"/>
            <w:shd w:val="clear" w:color="auto" w:fill="auto"/>
            <w:noWrap/>
          </w:tcPr>
          <w:p w14:paraId="0E6C5DA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6E51118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371B382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2A46C3D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77D37FA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07D5B3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2C4BF49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78F28B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0BD742B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5C2771C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7044861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0FD9971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2986531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5F0C82" w:rsidRPr="005F0C82" w14:paraId="2750A666" w14:textId="77777777" w:rsidTr="008A0C4E">
        <w:trPr>
          <w:trHeight w:val="330"/>
        </w:trPr>
        <w:tc>
          <w:tcPr>
            <w:tcW w:w="5000" w:type="pct"/>
            <w:gridSpan w:val="31"/>
            <w:shd w:val="clear" w:color="auto" w:fill="auto"/>
            <w:noWrap/>
            <w:hideMark/>
          </w:tcPr>
          <w:p w14:paraId="2095A11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BUDŻET PAŃSTWA – POMOC TECHNICZNA</w:t>
            </w:r>
          </w:p>
        </w:tc>
      </w:tr>
      <w:tr w:rsidR="008A0C4E" w:rsidRPr="005F0C82" w14:paraId="1B89C288" w14:textId="77777777" w:rsidTr="008A0C4E">
        <w:trPr>
          <w:gridAfter w:val="1"/>
          <w:wAfter w:w="12" w:type="pct"/>
          <w:trHeight w:val="765"/>
        </w:trPr>
        <w:tc>
          <w:tcPr>
            <w:tcW w:w="410" w:type="pct"/>
            <w:shd w:val="clear" w:color="auto" w:fill="auto"/>
            <w:hideMark/>
          </w:tcPr>
          <w:p w14:paraId="5C0C6AC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 xml:space="preserve">Instytucja podpisująca umowy z </w:t>
            </w: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lastRenderedPageBreak/>
              <w:t>beneficjentami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63681D7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lastRenderedPageBreak/>
              <w:t>Część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2C3F56A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Dział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4EBA7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Rozdział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F83A06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Paragraf</w:t>
            </w:r>
          </w:p>
        </w:tc>
        <w:tc>
          <w:tcPr>
            <w:tcW w:w="236" w:type="pct"/>
            <w:shd w:val="clear" w:color="auto" w:fill="auto"/>
            <w:hideMark/>
          </w:tcPr>
          <w:p w14:paraId="67AD36A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styczeń</w:t>
            </w:r>
          </w:p>
        </w:tc>
        <w:tc>
          <w:tcPr>
            <w:tcW w:w="282" w:type="pct"/>
            <w:gridSpan w:val="2"/>
            <w:shd w:val="clear" w:color="auto" w:fill="auto"/>
            <w:hideMark/>
          </w:tcPr>
          <w:p w14:paraId="7B1791F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luty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14:paraId="5246B7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marzec</w:t>
            </w:r>
          </w:p>
        </w:tc>
        <w:tc>
          <w:tcPr>
            <w:tcW w:w="481" w:type="pct"/>
            <w:gridSpan w:val="3"/>
            <w:shd w:val="clear" w:color="auto" w:fill="auto"/>
            <w:hideMark/>
          </w:tcPr>
          <w:p w14:paraId="7DFA612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kwiecień</w:t>
            </w:r>
          </w:p>
        </w:tc>
        <w:tc>
          <w:tcPr>
            <w:tcW w:w="156" w:type="pct"/>
            <w:shd w:val="clear" w:color="auto" w:fill="auto"/>
            <w:hideMark/>
          </w:tcPr>
          <w:p w14:paraId="096EAD4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maj</w:t>
            </w:r>
          </w:p>
        </w:tc>
        <w:tc>
          <w:tcPr>
            <w:tcW w:w="359" w:type="pct"/>
            <w:gridSpan w:val="3"/>
            <w:shd w:val="clear" w:color="auto" w:fill="auto"/>
            <w:hideMark/>
          </w:tcPr>
          <w:p w14:paraId="75F9493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czerwiec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14:paraId="7779A79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lipiec</w:t>
            </w:r>
          </w:p>
        </w:tc>
        <w:tc>
          <w:tcPr>
            <w:tcW w:w="282" w:type="pct"/>
            <w:shd w:val="clear" w:color="auto" w:fill="auto"/>
            <w:hideMark/>
          </w:tcPr>
          <w:p w14:paraId="111EBD6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sierpień</w:t>
            </w:r>
          </w:p>
        </w:tc>
        <w:tc>
          <w:tcPr>
            <w:tcW w:w="269" w:type="pct"/>
            <w:gridSpan w:val="2"/>
            <w:shd w:val="clear" w:color="auto" w:fill="auto"/>
            <w:hideMark/>
          </w:tcPr>
          <w:p w14:paraId="6354A36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wrzesień</w:t>
            </w:r>
          </w:p>
        </w:tc>
        <w:tc>
          <w:tcPr>
            <w:tcW w:w="329" w:type="pct"/>
            <w:gridSpan w:val="2"/>
            <w:shd w:val="clear" w:color="auto" w:fill="auto"/>
            <w:hideMark/>
          </w:tcPr>
          <w:p w14:paraId="410EA7B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październik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14:paraId="6A4457B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listopad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14:paraId="5AE5F19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grudzień</w:t>
            </w:r>
          </w:p>
        </w:tc>
        <w:tc>
          <w:tcPr>
            <w:tcW w:w="252" w:type="pct"/>
            <w:gridSpan w:val="2"/>
            <w:shd w:val="clear" w:color="auto" w:fill="auto"/>
            <w:hideMark/>
          </w:tcPr>
          <w:p w14:paraId="42719C6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Razem</w:t>
            </w:r>
          </w:p>
        </w:tc>
      </w:tr>
      <w:tr w:rsidR="008A0C4E" w:rsidRPr="005F0C82" w14:paraId="3E5E7E3D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0EF8AE3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753FCFB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2C107C9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F898AD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AA06B5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6741DD0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64C8AD1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01A4D52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2B92CAF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3980E7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214D788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3415888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39240A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6B3875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205C39A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0D1D5B3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3A42389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19827F6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7BC79DBE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4A1DD29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75258C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3C8A198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903272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9015FA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34BF5FC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2CC98A5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4ACDF96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5AE6130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4773C96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40017B0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13D9D83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2748AEE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2A6B27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6BCF2B6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05C01ED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366C595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5ACA87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7209B907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33FB6B00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4F44A4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1777442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557F61C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12D679D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490DEF1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369972E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37DB1C2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6BD4027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F70A56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5F86C74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5097944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621F7AE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6CBB8C7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8A0C4E" w:rsidRPr="005F0C82" w14:paraId="76E67B7C" w14:textId="77777777" w:rsidTr="008A0C4E">
        <w:trPr>
          <w:gridAfter w:val="1"/>
          <w:wAfter w:w="12" w:type="pct"/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7A0C3A1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421DDB5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0E73DDF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E1611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7FA6BF1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3AFD95F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2D6E2E9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76FD5FB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714DF70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570A91A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4B82598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62B09FA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2CE991D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178C226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61149B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10470D4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10D58EC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6BD21E6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4E87483E" w14:textId="77777777" w:rsidTr="008A0C4E">
        <w:trPr>
          <w:gridAfter w:val="1"/>
          <w:wAfter w:w="12" w:type="pct"/>
          <w:trHeight w:val="315"/>
        </w:trPr>
        <w:tc>
          <w:tcPr>
            <w:tcW w:w="410" w:type="pct"/>
            <w:shd w:val="clear" w:color="auto" w:fill="auto"/>
            <w:noWrap/>
            <w:hideMark/>
          </w:tcPr>
          <w:p w14:paraId="031C4B4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6F8150D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F0724B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01884E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7AE840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</w:tcPr>
          <w:p w14:paraId="6D0AF32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581F025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38AAE33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0EDC3DC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323AD1F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1596907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4C309F2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0056CCC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1CF9A7F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30AD436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0200007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551EAF9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1543365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8A0C4E" w:rsidRPr="005F0C82" w14:paraId="25B21E28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36EB60AB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Instytucja SUMA:</w:t>
            </w:r>
          </w:p>
        </w:tc>
        <w:tc>
          <w:tcPr>
            <w:tcW w:w="236" w:type="pct"/>
            <w:shd w:val="clear" w:color="auto" w:fill="auto"/>
            <w:noWrap/>
          </w:tcPr>
          <w:p w14:paraId="7EE85A6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32E1434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06DE485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188B0EA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29BCC6C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4A21772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00E6323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1A20862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6CC64AE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0E35282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285204F6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6D950BF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09F8B7D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8A0C4E" w:rsidRPr="005F0C82" w14:paraId="05F3E354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3D3BB6F4" w14:textId="77777777" w:rsidR="005F0C82" w:rsidRPr="005F0C82" w:rsidRDefault="005F0C82" w:rsidP="005F0C82">
            <w:pPr>
              <w:spacing w:after="0" w:line="276" w:lineRule="auto"/>
              <w:jc w:val="right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SUMA: </w:t>
            </w:r>
          </w:p>
        </w:tc>
        <w:tc>
          <w:tcPr>
            <w:tcW w:w="236" w:type="pct"/>
            <w:shd w:val="clear" w:color="auto" w:fill="auto"/>
            <w:noWrap/>
          </w:tcPr>
          <w:p w14:paraId="36E680F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43EF354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4ADC276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7ADFA9B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717F173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33AA804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2F091CC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0BA111F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3D3A581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025248C5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29BE5BF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06DA3D7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7D74D3F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  <w:tr w:rsidR="008A0C4E" w:rsidRPr="005F0C82" w14:paraId="40E846A9" w14:textId="77777777" w:rsidTr="008A0C4E">
        <w:trPr>
          <w:gridAfter w:val="1"/>
          <w:wAfter w:w="12" w:type="pct"/>
          <w:trHeight w:val="450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7864BD1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OGÓŁEM</w:t>
            </w:r>
          </w:p>
        </w:tc>
        <w:tc>
          <w:tcPr>
            <w:tcW w:w="236" w:type="pct"/>
            <w:shd w:val="clear" w:color="auto" w:fill="auto"/>
            <w:hideMark/>
          </w:tcPr>
          <w:p w14:paraId="4BB728A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styczeń</w:t>
            </w:r>
          </w:p>
        </w:tc>
        <w:tc>
          <w:tcPr>
            <w:tcW w:w="282" w:type="pct"/>
            <w:gridSpan w:val="2"/>
            <w:shd w:val="clear" w:color="auto" w:fill="auto"/>
            <w:hideMark/>
          </w:tcPr>
          <w:p w14:paraId="4CA0182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luty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14:paraId="34CAE5C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marzec</w:t>
            </w:r>
          </w:p>
        </w:tc>
        <w:tc>
          <w:tcPr>
            <w:tcW w:w="481" w:type="pct"/>
            <w:gridSpan w:val="3"/>
            <w:shd w:val="clear" w:color="auto" w:fill="auto"/>
            <w:hideMark/>
          </w:tcPr>
          <w:p w14:paraId="66DD24A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kwiecień</w:t>
            </w:r>
          </w:p>
        </w:tc>
        <w:tc>
          <w:tcPr>
            <w:tcW w:w="156" w:type="pct"/>
            <w:shd w:val="clear" w:color="auto" w:fill="auto"/>
            <w:hideMark/>
          </w:tcPr>
          <w:p w14:paraId="4CD4316C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maj</w:t>
            </w:r>
          </w:p>
        </w:tc>
        <w:tc>
          <w:tcPr>
            <w:tcW w:w="359" w:type="pct"/>
            <w:gridSpan w:val="3"/>
            <w:shd w:val="clear" w:color="auto" w:fill="auto"/>
            <w:hideMark/>
          </w:tcPr>
          <w:p w14:paraId="0378E7C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czerwiec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14:paraId="505FCA0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lipiec</w:t>
            </w:r>
          </w:p>
        </w:tc>
        <w:tc>
          <w:tcPr>
            <w:tcW w:w="282" w:type="pct"/>
            <w:shd w:val="clear" w:color="auto" w:fill="auto"/>
            <w:hideMark/>
          </w:tcPr>
          <w:p w14:paraId="05D746FE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sierpień</w:t>
            </w:r>
          </w:p>
        </w:tc>
        <w:tc>
          <w:tcPr>
            <w:tcW w:w="269" w:type="pct"/>
            <w:gridSpan w:val="2"/>
            <w:shd w:val="clear" w:color="auto" w:fill="auto"/>
            <w:hideMark/>
          </w:tcPr>
          <w:p w14:paraId="2ECB31D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wrzesień</w:t>
            </w:r>
          </w:p>
        </w:tc>
        <w:tc>
          <w:tcPr>
            <w:tcW w:w="329" w:type="pct"/>
            <w:gridSpan w:val="2"/>
            <w:shd w:val="clear" w:color="auto" w:fill="auto"/>
            <w:hideMark/>
          </w:tcPr>
          <w:p w14:paraId="444344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październik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14:paraId="639FC68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listopad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14:paraId="038F848F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</w:pPr>
            <w:r w:rsidRPr="005F0C82">
              <w:rPr>
                <w:rFonts w:ascii="Century Gothic" w:eastAsia="Calibri" w:hAnsi="Century Gothic" w:cs="Times New Roman"/>
                <w:sz w:val="16"/>
                <w:szCs w:val="24"/>
                <w:lang w:eastAsia="pl-PL"/>
              </w:rPr>
              <w:t>grudzień</w:t>
            </w:r>
          </w:p>
        </w:tc>
        <w:tc>
          <w:tcPr>
            <w:tcW w:w="252" w:type="pct"/>
            <w:gridSpan w:val="2"/>
            <w:shd w:val="clear" w:color="auto" w:fill="auto"/>
            <w:hideMark/>
          </w:tcPr>
          <w:p w14:paraId="33DD03D1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>Razem</w:t>
            </w:r>
          </w:p>
        </w:tc>
      </w:tr>
      <w:tr w:rsidR="008A0C4E" w:rsidRPr="005F0C82" w14:paraId="0E734B98" w14:textId="77777777" w:rsidTr="008A0C4E">
        <w:trPr>
          <w:gridAfter w:val="1"/>
          <w:wAfter w:w="12" w:type="pct"/>
          <w:trHeight w:val="315"/>
        </w:trPr>
        <w:tc>
          <w:tcPr>
            <w:tcW w:w="1318" w:type="pct"/>
            <w:gridSpan w:val="5"/>
            <w:shd w:val="clear" w:color="auto" w:fill="auto"/>
            <w:noWrap/>
            <w:hideMark/>
          </w:tcPr>
          <w:p w14:paraId="29EBA42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5F0C82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SUMA OGÓŁEM: </w:t>
            </w:r>
          </w:p>
        </w:tc>
        <w:tc>
          <w:tcPr>
            <w:tcW w:w="236" w:type="pct"/>
            <w:shd w:val="clear" w:color="auto" w:fill="auto"/>
            <w:noWrap/>
          </w:tcPr>
          <w:p w14:paraId="50052F1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</w:tcPr>
          <w:p w14:paraId="71EBF3F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14:paraId="03FB6BE8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shd w:val="clear" w:color="auto" w:fill="auto"/>
            <w:noWrap/>
          </w:tcPr>
          <w:p w14:paraId="5F674BAA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noWrap/>
          </w:tcPr>
          <w:p w14:paraId="18CEB54B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shd w:val="clear" w:color="auto" w:fill="auto"/>
            <w:noWrap/>
          </w:tcPr>
          <w:p w14:paraId="4D0DAD60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shd w:val="clear" w:color="auto" w:fill="auto"/>
            <w:noWrap/>
          </w:tcPr>
          <w:p w14:paraId="20C11F62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noWrap/>
          </w:tcPr>
          <w:p w14:paraId="2BDDAE79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shd w:val="clear" w:color="auto" w:fill="auto"/>
            <w:noWrap/>
          </w:tcPr>
          <w:p w14:paraId="727B1073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76330A54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auto"/>
            <w:noWrap/>
          </w:tcPr>
          <w:p w14:paraId="1F2030C7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</w:tcPr>
          <w:p w14:paraId="30FC0A4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shd w:val="clear" w:color="auto" w:fill="auto"/>
            <w:noWrap/>
          </w:tcPr>
          <w:p w14:paraId="5023F4CD" w14:textId="77777777" w:rsidR="005F0C82" w:rsidRPr="005F0C82" w:rsidRDefault="005F0C82" w:rsidP="005F0C82">
            <w:pPr>
              <w:spacing w:after="0" w:line="276" w:lineRule="auto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</w:p>
        </w:tc>
      </w:tr>
    </w:tbl>
    <w:p w14:paraId="7827C801" w14:textId="77777777" w:rsidR="005F0C82" w:rsidRPr="005F0C82" w:rsidRDefault="005F0C82" w:rsidP="005F0C82">
      <w:pPr>
        <w:spacing w:after="0" w:line="276" w:lineRule="auto"/>
        <w:rPr>
          <w:rFonts w:ascii="Century Gothic" w:eastAsia="Calibri" w:hAnsi="Century Gothic" w:cs="Calibri"/>
          <w:sz w:val="16"/>
          <w:szCs w:val="16"/>
        </w:rPr>
      </w:pPr>
      <w:bookmarkStart w:id="5" w:name="_Hlk131513518"/>
      <w:bookmarkEnd w:id="4"/>
      <w:r w:rsidRPr="005F0C82">
        <w:rPr>
          <w:rFonts w:ascii="Century Gothic" w:eastAsia="Calibri" w:hAnsi="Century Gothic" w:cs="Calibri"/>
          <w:sz w:val="16"/>
          <w:szCs w:val="16"/>
          <w:vertAlign w:val="superscript"/>
        </w:rPr>
        <w:t>*)</w:t>
      </w:r>
      <w:r w:rsidRPr="005F0C82">
        <w:rPr>
          <w:rFonts w:ascii="Century Gothic" w:eastAsia="Calibri" w:hAnsi="Century Gothic" w:cs="Calibri"/>
          <w:sz w:val="16"/>
          <w:szCs w:val="16"/>
        </w:rPr>
        <w:t xml:space="preserve"> Należy wpisać bieżący rok.</w:t>
      </w:r>
    </w:p>
    <w:p w14:paraId="2930BAA3" w14:textId="66D86359" w:rsidR="005F0C82" w:rsidRDefault="005F0C82" w:rsidP="005F0C82">
      <w:pPr>
        <w:spacing w:after="200" w:line="276" w:lineRule="auto"/>
        <w:rPr>
          <w:rFonts w:ascii="Century Gothic" w:eastAsia="Calibri" w:hAnsi="Century Gothic" w:cs="Calibri"/>
          <w:sz w:val="16"/>
          <w:szCs w:val="16"/>
        </w:rPr>
      </w:pPr>
      <w:r w:rsidRPr="005F0C82">
        <w:rPr>
          <w:rFonts w:ascii="Century Gothic" w:eastAsia="Calibri" w:hAnsi="Century Gothic" w:cs="Calibri"/>
          <w:sz w:val="16"/>
          <w:szCs w:val="16"/>
          <w:vertAlign w:val="superscript"/>
        </w:rPr>
        <w:t>**)</w:t>
      </w:r>
      <w:r w:rsidRPr="005F0C82">
        <w:rPr>
          <w:rFonts w:ascii="Century Gothic" w:eastAsia="Calibri" w:hAnsi="Century Gothic" w:cs="Calibri"/>
          <w:sz w:val="16"/>
          <w:szCs w:val="16"/>
        </w:rPr>
        <w:t xml:space="preserve"> Stan na ostatni dzień miesiąca poprzedzającego złożenie harmonogramu.</w:t>
      </w:r>
    </w:p>
    <w:p w14:paraId="166836E9" w14:textId="370F3980" w:rsidR="00865642" w:rsidRDefault="00865642" w:rsidP="005F0C82">
      <w:pPr>
        <w:spacing w:after="200" w:line="276" w:lineRule="auto"/>
        <w:rPr>
          <w:rFonts w:ascii="Century Gothic" w:eastAsia="Calibri" w:hAnsi="Century Gothic" w:cs="Calibri"/>
          <w:sz w:val="16"/>
          <w:szCs w:val="16"/>
        </w:rPr>
      </w:pPr>
    </w:p>
    <w:p w14:paraId="5E1DA775" w14:textId="77777777" w:rsidR="00865642" w:rsidRPr="005F0C82" w:rsidRDefault="00865642" w:rsidP="005F0C82">
      <w:pPr>
        <w:spacing w:after="200" w:line="276" w:lineRule="auto"/>
        <w:rPr>
          <w:rFonts w:ascii="Century Gothic" w:eastAsia="Calibri" w:hAnsi="Century Gothic" w:cs="Calibri"/>
          <w:sz w:val="16"/>
          <w:szCs w:val="16"/>
        </w:rPr>
      </w:pPr>
    </w:p>
    <w:p w14:paraId="4D74C4D3" w14:textId="6EDB1C45" w:rsidR="005F0C82" w:rsidRPr="005F0C82" w:rsidRDefault="005F0C82" w:rsidP="005F0C82">
      <w:pPr>
        <w:spacing w:after="200" w:line="276" w:lineRule="auto"/>
        <w:rPr>
          <w:rFonts w:ascii="Century Gothic" w:eastAsia="Calibri" w:hAnsi="Century Gothic" w:cs="Calibri"/>
          <w:sz w:val="16"/>
          <w:szCs w:val="16"/>
        </w:rPr>
      </w:pP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r w:rsidRPr="005F0C82">
        <w:rPr>
          <w:rFonts w:ascii="Calibri" w:eastAsia="Calibri" w:hAnsi="Calibri" w:cs="Calibri"/>
          <w:sz w:val="18"/>
          <w:szCs w:val="18"/>
        </w:rPr>
        <w:tab/>
      </w:r>
      <w:bookmarkStart w:id="6" w:name="_Hlk131513569"/>
      <w:r w:rsidRPr="005F0C82">
        <w:rPr>
          <w:rFonts w:ascii="Century Gothic" w:eastAsia="Calibri" w:hAnsi="Century Gothic" w:cs="Calibri"/>
          <w:sz w:val="16"/>
          <w:szCs w:val="16"/>
        </w:rPr>
        <w:t>………………………….</w:t>
      </w:r>
      <w:r w:rsidRPr="005F0C82">
        <w:rPr>
          <w:rFonts w:ascii="Century Gothic" w:eastAsia="Calibri" w:hAnsi="Century Gothic" w:cs="Calibri"/>
          <w:sz w:val="16"/>
          <w:szCs w:val="16"/>
        </w:rPr>
        <w:tab/>
      </w:r>
      <w:r w:rsidRPr="005F0C82">
        <w:rPr>
          <w:rFonts w:ascii="Century Gothic" w:eastAsia="Calibri" w:hAnsi="Century Gothic" w:cs="Calibri"/>
          <w:sz w:val="16"/>
          <w:szCs w:val="16"/>
        </w:rPr>
        <w:tab/>
      </w:r>
      <w:r w:rsidRPr="005F0C82">
        <w:rPr>
          <w:rFonts w:ascii="Century Gothic" w:eastAsia="Calibri" w:hAnsi="Century Gothic" w:cs="Calibri"/>
          <w:sz w:val="16"/>
          <w:szCs w:val="16"/>
        </w:rPr>
        <w:tab/>
      </w:r>
      <w:r w:rsidRPr="005F0C82">
        <w:rPr>
          <w:rFonts w:ascii="Century Gothic" w:eastAsia="Calibri" w:hAnsi="Century Gothic" w:cs="Calibri"/>
          <w:sz w:val="16"/>
          <w:szCs w:val="16"/>
        </w:rPr>
        <w:tab/>
      </w:r>
      <w:r w:rsidR="00865642">
        <w:rPr>
          <w:rFonts w:ascii="Century Gothic" w:eastAsia="Calibri" w:hAnsi="Century Gothic" w:cs="Calibri"/>
          <w:sz w:val="16"/>
          <w:szCs w:val="16"/>
        </w:rPr>
        <w:t>…………………………………………………</w:t>
      </w:r>
      <w:r w:rsidR="00865642">
        <w:rPr>
          <w:rFonts w:ascii="Century Gothic" w:eastAsia="Calibri" w:hAnsi="Century Gothic" w:cs="Calibri"/>
          <w:sz w:val="16"/>
          <w:szCs w:val="16"/>
        </w:rPr>
        <w:tab/>
      </w:r>
      <w:r w:rsidR="00865642">
        <w:rPr>
          <w:rFonts w:ascii="Century Gothic" w:eastAsia="Calibri" w:hAnsi="Century Gothic" w:cs="Calibri"/>
          <w:sz w:val="16"/>
          <w:szCs w:val="16"/>
        </w:rPr>
        <w:tab/>
      </w:r>
      <w:r w:rsidR="00865642">
        <w:rPr>
          <w:rFonts w:ascii="Century Gothic" w:eastAsia="Calibri" w:hAnsi="Century Gothic" w:cs="Calibri"/>
          <w:sz w:val="16"/>
          <w:szCs w:val="16"/>
        </w:rPr>
        <w:tab/>
      </w:r>
      <w:r w:rsidR="00865642">
        <w:rPr>
          <w:rFonts w:ascii="Century Gothic" w:eastAsia="Calibri" w:hAnsi="Century Gothic" w:cs="Calibri"/>
          <w:sz w:val="16"/>
          <w:szCs w:val="16"/>
        </w:rPr>
        <w:tab/>
      </w:r>
      <w:r w:rsidR="00865642">
        <w:rPr>
          <w:rFonts w:ascii="Century Gothic" w:eastAsia="Calibri" w:hAnsi="Century Gothic" w:cs="Calibri"/>
          <w:sz w:val="16"/>
          <w:szCs w:val="16"/>
        </w:rPr>
        <w:tab/>
      </w:r>
    </w:p>
    <w:p w14:paraId="13AFA2AE" w14:textId="77777777" w:rsidR="005F0C82" w:rsidRPr="005F0C82" w:rsidRDefault="005F0C82" w:rsidP="005F0C82">
      <w:pPr>
        <w:spacing w:after="200" w:line="276" w:lineRule="auto"/>
        <w:ind w:left="10620" w:hanging="3540"/>
        <w:rPr>
          <w:rFonts w:ascii="Century Gothic" w:eastAsia="Calibri" w:hAnsi="Century Gothic" w:cs="Calibri"/>
          <w:sz w:val="16"/>
          <w:szCs w:val="16"/>
        </w:rPr>
      </w:pPr>
      <w:r w:rsidRPr="005F0C82">
        <w:rPr>
          <w:rFonts w:ascii="Century Gothic" w:eastAsia="Calibri" w:hAnsi="Century Gothic" w:cs="Calibri"/>
          <w:sz w:val="16"/>
          <w:szCs w:val="16"/>
        </w:rPr>
        <w:t>data</w:t>
      </w:r>
      <w:r w:rsidRPr="005F0C82">
        <w:rPr>
          <w:rFonts w:ascii="Century Gothic" w:eastAsia="Calibri" w:hAnsi="Century Gothic" w:cs="Calibri"/>
          <w:sz w:val="16"/>
          <w:szCs w:val="16"/>
        </w:rPr>
        <w:tab/>
        <w:t>podpis i pieczęć osoby uprawnionej do akceptacji informacji ze strony Instytucji sporządzającej Informację</w:t>
      </w:r>
    </w:p>
    <w:bookmarkEnd w:id="5"/>
    <w:bookmarkEnd w:id="6"/>
    <w:p w14:paraId="64D72B3A" w14:textId="55B656C1" w:rsidR="005F0C82" w:rsidRPr="005F0C82" w:rsidRDefault="005F0C82" w:rsidP="005F0C82">
      <w:pPr>
        <w:rPr>
          <w:rFonts w:ascii="Century Gothic" w:hAnsi="Century Gothic"/>
          <w:sz w:val="20"/>
          <w:szCs w:val="20"/>
          <w:highlight w:val="yellow"/>
        </w:rPr>
        <w:sectPr w:rsidR="005F0C82" w:rsidRPr="005F0C82" w:rsidSect="005C51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33575" w14:textId="53D76053" w:rsidR="00865642" w:rsidRPr="008A0C4E" w:rsidRDefault="00865642">
      <w:pPr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>Załącznik</w:t>
      </w:r>
      <w:r w:rsidR="0001196F" w:rsidRPr="008A0C4E">
        <w:rPr>
          <w:rFonts w:ascii="Century Gothic" w:hAnsi="Century Gothic"/>
          <w:sz w:val="20"/>
          <w:szCs w:val="20"/>
        </w:rPr>
        <w:t xml:space="preserve"> nr 5</w:t>
      </w:r>
    </w:p>
    <w:p w14:paraId="0BE69D3A" w14:textId="77777777" w:rsidR="00865642" w:rsidRPr="00865642" w:rsidRDefault="00865642" w:rsidP="00865642">
      <w:pPr>
        <w:spacing w:after="0" w:line="360" w:lineRule="auto"/>
        <w:rPr>
          <w:rFonts w:ascii="Century Gothic" w:eastAsia="Times New Roman" w:hAnsi="Century Gothic" w:cs="Calibri"/>
          <w:i/>
          <w:sz w:val="18"/>
          <w:szCs w:val="18"/>
        </w:rPr>
      </w:pPr>
      <w:r w:rsidRPr="00865642">
        <w:rPr>
          <w:rFonts w:ascii="Century Gothic" w:eastAsia="Times New Roman" w:hAnsi="Century Gothic" w:cs="Calibri"/>
          <w:i/>
          <w:sz w:val="18"/>
          <w:szCs w:val="18"/>
        </w:rPr>
        <w:t>Algorytm przeliczania środków EFRR, EFS+ oraz FST</w:t>
      </w:r>
    </w:p>
    <w:p w14:paraId="292A75CA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</w:p>
    <w:p w14:paraId="5CF5974E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Algorytm przeliczania środków:</w:t>
      </w:r>
    </w:p>
    <w:p w14:paraId="54BA6BC5" w14:textId="77777777" w:rsidR="00865642" w:rsidRPr="00865642" w:rsidRDefault="00865642" w:rsidP="00865642">
      <w:pPr>
        <w:spacing w:after="120" w:line="24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L= A – 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PLN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+ RN + KS</w:t>
      </w:r>
    </w:p>
    <w:p w14:paraId="0EC535A4" w14:textId="77777777" w:rsidR="00865642" w:rsidRPr="00865642" w:rsidRDefault="00865642" w:rsidP="00865642">
      <w:pPr>
        <w:keepNext/>
        <w:spacing w:before="240" w:after="0" w:line="240" w:lineRule="auto"/>
        <w:outlineLvl w:val="3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bCs/>
          <w:sz w:val="18"/>
          <w:szCs w:val="18"/>
        </w:rPr>
        <w:t>w którym poszczególne wartości oznaczają odpowiednio:</w:t>
      </w:r>
    </w:p>
    <w:p w14:paraId="3EA79C96" w14:textId="77777777" w:rsidR="00865642" w:rsidRPr="00865642" w:rsidRDefault="00865642" w:rsidP="00865642">
      <w:pPr>
        <w:spacing w:after="0" w:line="240" w:lineRule="auto"/>
        <w:jc w:val="center"/>
        <w:rPr>
          <w:rFonts w:ascii="Century Gothic" w:eastAsia="Times New Roman" w:hAnsi="Century Gothic" w:cs="Calibri"/>
          <w:sz w:val="18"/>
          <w:szCs w:val="18"/>
        </w:rPr>
      </w:pPr>
    </w:p>
    <w:p w14:paraId="3F2EEF53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L 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limit środków wspólnotowych w PLN, jakie można zaangażować w danym miesiącu w ramach zawieranych umów o dofinansowanie/podejmowanych decyzji o dofinansowaniu. Limit dotyczy zarówno projektów zgłoszonych do wyboru w sposób konkurencyjny oraz niekonkurencyjny. Wartość umów/decyzji dotyczących projektów zgłoszonych do wyboru, jakie będą podpisane w okresie objętym limitem, musi uwzględniać przewidywane umowy/decyzje dotyczące projektów zgłoszonych do wyboru w sposób niekonkurencyjny w taki sposób, aby łączna wartość podpisanych umów/podjętych decyzji w omawianym okresie nie przekraczała limitu L</w:t>
      </w:r>
      <w:r w:rsidRPr="00865642">
        <w:rPr>
          <w:rFonts w:ascii="Century Gothic" w:eastAsia="Times New Roman" w:hAnsi="Century Gothic" w:cs="Calibri"/>
          <w:bCs/>
          <w:sz w:val="18"/>
          <w:szCs w:val="18"/>
        </w:rPr>
        <w:t>, a jednocześnie umożliwiała podpisanie następnych umów/podjęcie następnych decyzji dotyczących projektów zgłoszonych do wyboru w sposób niekonkurencyjny w kolejnych okresach;</w:t>
      </w:r>
    </w:p>
    <w:p w14:paraId="06A00BE9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84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 sytuacji, gdy limit środków do zakontraktowania w danym działaniu jest większy niż limit dla całej osi, wówczas możliwość kontraktacji w ramach danego działania zostaje obniżona do wysokości środków dostępnych dla całej osi. Natomiast, gdy w ramach priorytetu brak jest jakichkolwiek wolnych środków do zakontraktowania, wówczas nie ma możliwości dalszej kontraktacji w działaniach, w których limit nie został wyczerpany.</w:t>
      </w:r>
    </w:p>
    <w:p w14:paraId="44F5AB6E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wyrażona w PLN wartość środków wspólnotowych w ramach danego działania jaka może być objęta umowami/decyzjami o dofinansowanie w całym okresie programowania 2021-2027</w:t>
      </w:r>
    </w:p>
    <w:p w14:paraId="1FBE873C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6B56CE54" w14:textId="77777777" w:rsidR="00865642" w:rsidRPr="00865642" w:rsidRDefault="00865642" w:rsidP="00865642">
      <w:pPr>
        <w:spacing w:after="120" w:line="360" w:lineRule="auto"/>
        <w:ind w:left="1080"/>
        <w:jc w:val="center"/>
        <w:rPr>
          <w:rFonts w:ascii="Century Gothic" w:eastAsia="Times New Roman" w:hAnsi="Century Gothic" w:cs="Calibri"/>
          <w:b/>
          <w:sz w:val="18"/>
          <w:szCs w:val="18"/>
          <w:lang w:val="fr-FR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A = [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 + (PO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EUR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- 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) 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* 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  <w:lang w:val="fr-FR"/>
        </w:rPr>
        <w:t>EBC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] * Z</w:t>
      </w:r>
    </w:p>
    <w:p w14:paraId="7C365BEE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gdzie:</w:t>
      </w:r>
    </w:p>
    <w:p w14:paraId="4C71BD8F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 wartość alokacji środków wspólnotowych dla danego działania, określona w dokumentach programowych dla lat 2021-2027 (aktualizowana wraz ze zmianami w szczegółowych opisach priorytetów);</w:t>
      </w:r>
    </w:p>
    <w:p w14:paraId="4281F9C8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EUR, dla danego działania, wartość wydatków kwalifikowalnych w części odpowiadającej środkom wspólnotowym, skumulowanych od początku okresu programowania, certyfikowanych i poświadczonych przez Instytucję Zarządzającą do Komisji Europejskiej jako wydatki spełniające wymogi kwalifikowalności;</w:t>
      </w:r>
    </w:p>
    <w:p w14:paraId="0F58378A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wyrażona w PLN, dla danego działania, wartość wydatków kwalifikowalnych w części odpowiadającej środkom wspólnotowym, skumulowanych od początku okresu programowania, stanowiących podstawę wyliczenia kwot poświadczonych i certyfikowanych przez Instytucję Zarządzającą do Komisji Europejskiej (P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>);</w:t>
      </w:r>
    </w:p>
    <w:p w14:paraId="4657605B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EBC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kurs Europejskiego Banku Centralnego z przedostatniego dnia kwotowania Komisji Europejskiej w miesiącu poprzedzającym miesiąc, w którym dokonuje się wyliczenia wartości alokacji; w przypadku gdy kurs ten przekracza 103% i nie jest jednocześnie wyższy niż 110% wartości kursu wyznaczonego jako średnia arytmetyczna kursów księgowych EBC z ostatnich 12 miesięcy (począwszy od aktualnego kursu), stosujemy średnią arytmetyczną z kursu bieżącego i średniej z 12 kursów księgowych. W przypadku, gdy kurs księgowy EBC w danym miesiącu przekroczy 110% wartości kursu wyznaczonego jako średnia arytmetyczna kursów księgowych EBC z ostatnich 12 miesięcy (począwszy od aktualnego kursu) stosujemy kurs będący średnią z 12 ostatnich kursów księgowych;</w:t>
      </w:r>
    </w:p>
    <w:p w14:paraId="211857E1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Z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współczynnik określający procent dostępnej kontraktacji (w przypadku decyzji o tzw. „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nadkontraktacji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>” wartość Z powinna być większa od 100%); obecnie Z równa się 100%. Decyzję dopuszczającą „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nadkontraktację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>” w ramach danego działania podejmuje Instytucja Zarządzająca, po uzyskaniu zgody Instytucji Koordynującej UP oraz Ministra Finansów;</w:t>
      </w:r>
    </w:p>
    <w:p w14:paraId="3DF01DE4" w14:textId="77777777" w:rsidR="00865642" w:rsidRPr="00865642" w:rsidRDefault="00865642" w:rsidP="00865642">
      <w:pPr>
        <w:spacing w:before="240" w:after="120" w:line="240" w:lineRule="auto"/>
        <w:ind w:left="839" w:hanging="482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lastRenderedPageBreak/>
        <w:t>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– to wyrażona w złotych wartość środków wspólnotowych zakontraktowanych w ramach umów o dofinansowanie/decyzji o dofinansowaniu, zawartych/podjętych od początku uruchomienia działania, w przypadku aneksowania umów/decyzji wspomniana wartość powinna uwzględniać dotychczasowe korekty przyznanego dofinansowania, a w odniesieniu do projektów, w przypadku których dokonano płatności końcowej, należy dokonać korekty kwoty widniejącej w umowie o dofinansowanie/decyzji o dofinansowaniu, tak aby odzwierciedlała faktyczną wartość płatności przekazanych na rzecz danego beneficjenta (w odniesieniu do działań, w których udzielona została zgoda na 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nadkontraktację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 xml:space="preserve"> należy w wartości U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uwzględniać pierwotną wartość umowy/decyzji, z wyjątkiem sytuacji gdzie w wyniku aneksu wartość pierwotnej umowy/decyzji wzrosła);</w:t>
      </w:r>
    </w:p>
    <w:p w14:paraId="3FB794C9" w14:textId="77777777" w:rsidR="00865642" w:rsidRPr="00865642" w:rsidRDefault="00865642" w:rsidP="00865642">
      <w:pPr>
        <w:spacing w:before="240" w:after="240" w:line="240" w:lineRule="auto"/>
        <w:ind w:left="851" w:hanging="425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RN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wspólnotowego, do zwrotu którego beneficjenci zostali zobowiązani na skutek stwierdzenia nieprawidłowości w projektach niezakończonych (ale w dalszym ciągu realizowanych) w przypadku, gdy spełnione są łącznie poniższe warunki dotyczące wspomnianego dofinansowania:</w:t>
      </w:r>
    </w:p>
    <w:p w14:paraId="00D3BE83" w14:textId="77777777" w:rsidR="00865642" w:rsidRPr="00865642" w:rsidRDefault="00865642" w:rsidP="00865642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wydatki związane z przekazanym dofinansowaniem nie zostały jeszcze zadeklarowane do Komisji Europejskiej albo alternatywnie – zostały zadeklarowane, przy czym nastąpiło już także stosowne pomniejszenie deklaracji,</w:t>
      </w:r>
    </w:p>
    <w:p w14:paraId="564052BF" w14:textId="77777777" w:rsidR="00865642" w:rsidRPr="00865642" w:rsidRDefault="00865642" w:rsidP="00865642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dofinansowanie wspólnotowe, do zwrotu którego beneficjenci zostali zobowiązani, nie zostało odzwierciedlone poprzez odpowiednią korektę wartości UPLN;</w:t>
      </w:r>
    </w:p>
    <w:p w14:paraId="7CB35B33" w14:textId="77777777" w:rsidR="00865642" w:rsidRPr="00865642" w:rsidRDefault="00865642" w:rsidP="00865642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50840F38" w14:textId="07BEBBD3" w:rsidR="00865642" w:rsidRDefault="00865642" w:rsidP="00865642">
      <w:pPr>
        <w:rPr>
          <w:rFonts w:ascii="Century Gothic" w:hAnsi="Century Gothic"/>
          <w:sz w:val="20"/>
          <w:szCs w:val="20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KS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unijnego, ujętego w korektach systemowych uwzględnionych we wnioskach o płatność skierowanych przez Instytucję Zarządzającą do Komisji Europejskiej w ramach danego działania. W przypadku programów regionalnych w wartości KS uwzględnia się wyłącznie korekty będące następstwem działania lub zaniechania organów państwa i nie uwzględnia się korekt wynikających z działań lub zaniechań instytucji systemu wdrażania programu regionalnego lub korekt uwzględnianych w rocznych zestawieniach wydatków, których celem jest obniżenie poziomu błędu rezydualnego.</w:t>
      </w:r>
      <w:r>
        <w:rPr>
          <w:rFonts w:ascii="Century Gothic" w:hAnsi="Century Gothic"/>
          <w:sz w:val="20"/>
          <w:szCs w:val="20"/>
        </w:rPr>
        <w:br w:type="page"/>
      </w:r>
    </w:p>
    <w:p w14:paraId="2DA2420A" w14:textId="2D8E4047" w:rsidR="00ED4296" w:rsidRPr="008A0C4E" w:rsidRDefault="00ED4296" w:rsidP="00ED4296">
      <w:pPr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01196F" w:rsidRPr="008A0C4E">
        <w:rPr>
          <w:rFonts w:ascii="Century Gothic" w:hAnsi="Century Gothic"/>
          <w:sz w:val="20"/>
          <w:szCs w:val="20"/>
        </w:rPr>
        <w:t>6</w:t>
      </w:r>
    </w:p>
    <w:p w14:paraId="44CC37AC" w14:textId="77777777" w:rsidR="00ED4296" w:rsidRPr="0001196F" w:rsidRDefault="00ED4296" w:rsidP="00ED4296">
      <w:pPr>
        <w:rPr>
          <w:rFonts w:ascii="Century Gothic" w:hAnsi="Century Gothic"/>
          <w:i/>
          <w:iCs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Maksymalny udział budżetu państwa w finansowaniu wydatków kwalifikowalnych w ramach danego projektu w danym celu szczegółowym w ramach EFS+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1573"/>
        <w:gridCol w:w="1573"/>
        <w:gridCol w:w="1573"/>
      </w:tblGrid>
      <w:tr w:rsidR="00865642" w:rsidRPr="00865642" w14:paraId="08DC817F" w14:textId="77777777" w:rsidTr="00227C8A">
        <w:trPr>
          <w:trHeight w:val="705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83566" w14:textId="77777777" w:rsidR="00865642" w:rsidRPr="00865642" w:rsidRDefault="00865642" w:rsidP="00865642">
            <w:pP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Obszary wsparcia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5F79" w14:textId="77777777" w:rsidR="00865642" w:rsidRPr="00865642" w:rsidRDefault="00865642" w:rsidP="00865642">
            <w:pP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Maksymalny udział budżetu państwa w finansowaniu wydatków kwalifikowalnych w ramach danego projektu EFS+</w:t>
            </w:r>
          </w:p>
        </w:tc>
      </w:tr>
      <w:tr w:rsidR="00865642" w:rsidRPr="00865642" w14:paraId="27A4907F" w14:textId="77777777" w:rsidTr="00227C8A">
        <w:trPr>
          <w:trHeight w:val="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A52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9B1C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Regiony słabiej rozwinięte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5CE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Regiony w okresie przejściowym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308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Region lepiej rozwinięty</w:t>
            </w:r>
          </w:p>
        </w:tc>
      </w:tr>
      <w:tr w:rsidR="00865642" w:rsidRPr="00865642" w14:paraId="3F5BD95F" w14:textId="77777777" w:rsidTr="00227C8A">
        <w:trPr>
          <w:trHeight w:val="92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2FB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 (EFS+)</w:t>
            </w:r>
          </w:p>
        </w:tc>
      </w:tr>
      <w:tr w:rsidR="00865642" w:rsidRPr="00865642" w14:paraId="74F164F8" w14:textId="77777777" w:rsidTr="00227C8A">
        <w:trPr>
          <w:trHeight w:val="40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F37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Aktywizacja zawodowa osób bezrobotnych i samozatrudnienie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E1F66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774B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5FA55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191E5FEB" w14:textId="77777777" w:rsidTr="00227C8A">
        <w:trPr>
          <w:trHeight w:val="54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72FB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Realizacja ukierunkowanych schematów mobilności transnarodowej (USMT) w ramach sieci EURES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6EED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45D2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5A45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525630EC" w14:textId="77777777" w:rsidTr="00227C8A">
        <w:trPr>
          <w:trHeight w:val="132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8AB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Poprawa sytuacji na rynku pracy osób zatrudnionych na umowach krótkoterminowych, pracujących w ramach umów cywilno-prawnych, ubogich pracujących, z niepełnosprawnościami lub o ograniczonej mobilności, jak również odchodzących z rolnictwa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F9DB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2412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A86E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40,00%</w:t>
            </w:r>
          </w:p>
        </w:tc>
      </w:tr>
      <w:tr w:rsidR="00865642" w:rsidRPr="00865642" w14:paraId="6A3852AA" w14:textId="77777777" w:rsidTr="00227C8A">
        <w:trPr>
          <w:trHeight w:val="19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1E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Cs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Realizacja inicjatywy ALMA skierowanej do osób młodych należących do kategorii NEET</w:t>
            </w: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120DE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AC369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B78A1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865642" w:rsidRPr="00865642" w14:paraId="51E2BB52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F35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7C9D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7F34F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5DF73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64F3A07C" w14:textId="77777777" w:rsidTr="00227C8A">
        <w:trPr>
          <w:trHeight w:val="725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22AB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(b)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(EFS+)</w:t>
            </w:r>
          </w:p>
        </w:tc>
      </w:tr>
      <w:tr w:rsidR="00865642" w:rsidRPr="00865642" w14:paraId="0250E32B" w14:textId="77777777" w:rsidTr="00227C8A">
        <w:trPr>
          <w:trHeight w:val="14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8EE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Wszystkie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68324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1CC7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E3A5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2B8B8010" w14:textId="77777777" w:rsidTr="00227C8A">
        <w:trPr>
          <w:trHeight w:val="75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7A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(c)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 (EFS+)</w:t>
            </w:r>
          </w:p>
        </w:tc>
      </w:tr>
      <w:tr w:rsidR="00865642" w:rsidRPr="00865642" w14:paraId="6943F2CD" w14:textId="77777777" w:rsidTr="00227C8A">
        <w:trPr>
          <w:trHeight w:val="14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C5B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Działania na rzecz równości kobiet i mężczyzn na rynku pracy, w tym aktywizacja społeczno-zawodowa kobiet (z wyłączeniem projektów ukierunkowanych na opiekę nad dziećmi)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92C10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041EC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1EA8F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865642" w:rsidRPr="00865642" w14:paraId="25FF5631" w14:textId="77777777" w:rsidTr="00227C8A">
        <w:trPr>
          <w:trHeight w:val="14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6B9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2B68C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5EB69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8E9539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72AB58E5" w14:textId="77777777" w:rsidTr="00227C8A">
        <w:trPr>
          <w:trHeight w:val="50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6F44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(d) Wspieranie dostosowania pracowników, przedsiębiorstw i przedsiębiorców do zmian, wspieranie aktywnego i zdrowego starzenia się oraz zdrowego i dobrze dostosowanego środowiska pracy, które uwzględnia zagrożenia dla zdrowia (EFS+)</w:t>
            </w:r>
          </w:p>
        </w:tc>
      </w:tr>
      <w:tr w:rsidR="00865642" w:rsidRPr="00865642" w14:paraId="35696E7D" w14:textId="77777777" w:rsidTr="00227C8A">
        <w:trPr>
          <w:trHeight w:val="41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373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ochrony zdrowia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7F8C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03AB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A714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40,00%</w:t>
            </w:r>
          </w:p>
        </w:tc>
      </w:tr>
      <w:tr w:rsidR="00865642" w:rsidRPr="00865642" w14:paraId="77D2EB56" w14:textId="77777777" w:rsidTr="00227C8A">
        <w:trPr>
          <w:trHeight w:val="111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913F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lastRenderedPageBreak/>
              <w:t xml:space="preserve">Wsparcie w obszarze adaptacyjności – </w:t>
            </w:r>
            <w:proofErr w:type="spellStart"/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outplacement</w:t>
            </w:r>
            <w:proofErr w:type="spellEnd"/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 xml:space="preserve"> dla pracowników zagrożonych zwolnieniem, przewidzianych do zwolnienia lub zwolnionych z przyczyn niedotyczących pracownika oraz osób odchodzących z rolnictwa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0DD9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1396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30425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865642" w:rsidRPr="00865642" w14:paraId="33E7B35C" w14:textId="77777777" w:rsidTr="00227C8A">
        <w:trPr>
          <w:trHeight w:val="3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31A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adaptacyjności – 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CFE2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E1AD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7B42C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6E12F073" w14:textId="77777777" w:rsidTr="00227C8A">
        <w:trPr>
          <w:trHeight w:val="3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CD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9EFC5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435FA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B8B55F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67E7A5FC" w14:textId="77777777" w:rsidTr="00227C8A">
        <w:trPr>
          <w:trHeight w:val="98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5E0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 xml:space="preserve">(e) Poprawa jakości, poziomu włączenia społecznego i skuteczności systemów kształcenia i szkolenia oraz ich powiązania z rynkiem pracy – w tym przez walidację uczenia się </w:t>
            </w:r>
            <w:proofErr w:type="spellStart"/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pozaformalnego</w:t>
            </w:r>
            <w:proofErr w:type="spellEnd"/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 xml:space="preserve"> i nieformalnego, w celu wspierania nabywania kompetencji kluczowych, w tym umiejętności w zakresie przedsiębiorczości i kompetencji cyfrowych, oraz przez wspieranie wprowadzania dualnych systemów szkolenia i przygotowania zawodowego (EFS+)</w:t>
            </w:r>
          </w:p>
        </w:tc>
      </w:tr>
      <w:tr w:rsidR="00865642" w:rsidRPr="00865642" w14:paraId="4ADA29EF" w14:textId="77777777" w:rsidTr="00227C8A">
        <w:trPr>
          <w:trHeight w:val="1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942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systemu oświaty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B93A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D493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D7B25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15,00%</w:t>
            </w:r>
          </w:p>
        </w:tc>
      </w:tr>
      <w:tr w:rsidR="00865642" w:rsidRPr="00865642" w14:paraId="1C8723A0" w14:textId="77777777" w:rsidTr="00227C8A">
        <w:trPr>
          <w:trHeight w:val="9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A74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szkolnictwa wyższego (kierunki medyczne)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3D2BCF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C66B9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AF71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550D6F24" w14:textId="77777777" w:rsidTr="00227C8A">
        <w:trPr>
          <w:trHeight w:val="1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FEB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C8461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35B14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DED13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2C97529C" w14:textId="77777777" w:rsidTr="00227C8A">
        <w:trPr>
          <w:trHeight w:val="28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A67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</w:t>
            </w:r>
          </w:p>
        </w:tc>
      </w:tr>
      <w:tr w:rsidR="00865642" w:rsidRPr="00865642" w14:paraId="7361E283" w14:textId="77777777" w:rsidTr="00227C8A">
        <w:trPr>
          <w:trHeight w:val="21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F36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Projekty dedykowane wsparciu szkoły w prowadzeniu skutecznej edukacji włączającej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F84C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47FA9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23BE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35,00%</w:t>
            </w:r>
          </w:p>
        </w:tc>
      </w:tr>
      <w:tr w:rsidR="00865642" w:rsidRPr="00865642" w14:paraId="362AD4A7" w14:textId="77777777" w:rsidTr="00227C8A">
        <w:trPr>
          <w:trHeight w:val="39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BF9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edukacji (pozostałe projekty)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2C5F9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1B66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04CB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15,00%</w:t>
            </w:r>
          </w:p>
        </w:tc>
      </w:tr>
      <w:tr w:rsidR="00865642" w:rsidRPr="00865642" w14:paraId="0E4616A4" w14:textId="77777777" w:rsidTr="00227C8A">
        <w:trPr>
          <w:trHeight w:val="21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6E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szkolnictwa wyższego (kierunki medyczne)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A31CC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932D7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4348A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26E77EBD" w14:textId="77777777" w:rsidTr="00227C8A">
        <w:trPr>
          <w:trHeight w:val="6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567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3DDC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5F1181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2F33EA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05D04A73" w14:textId="77777777" w:rsidTr="00227C8A">
        <w:trPr>
          <w:trHeight w:val="110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CD4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(EFS+)</w:t>
            </w:r>
          </w:p>
        </w:tc>
      </w:tr>
      <w:tr w:rsidR="00865642" w:rsidRPr="00865642" w14:paraId="131C69CD" w14:textId="77777777" w:rsidTr="00227C8A">
        <w:trPr>
          <w:trHeight w:val="17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DFB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Kształcenie osób dorosłych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7435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EAACE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B912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35,00%</w:t>
            </w:r>
          </w:p>
        </w:tc>
      </w:tr>
      <w:tr w:rsidR="00865642" w:rsidRPr="00865642" w14:paraId="33470463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8EC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ochrony zdrowia, w tym kształcenie kadr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92FB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7C3D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0D277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12C8E848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05D5" w14:textId="77777777" w:rsidR="00865642" w:rsidRPr="00865642" w:rsidDel="00992F3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6C9B3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C4B5A" w14:textId="77777777" w:rsidR="00865642" w:rsidRPr="00865642" w:rsidDel="00992F3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338D84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865642" w:rsidRPr="00865642" w14:paraId="1D07A995" w14:textId="77777777" w:rsidTr="00227C8A">
        <w:trPr>
          <w:trHeight w:val="46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D824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(h) Wspieranie aktywnego włączenia społecznego w celu promowania równości szans, niedyskryminacji i aktywnego uczestnictwa, oraz zwiększanie zdolności do zatrudnienia, w szczególności grup w niekorzystnej sytuacji (EFS+)</w:t>
            </w:r>
          </w:p>
        </w:tc>
      </w:tr>
      <w:tr w:rsidR="00865642" w:rsidRPr="00865642" w14:paraId="0F745B4C" w14:textId="77777777" w:rsidTr="00227C8A">
        <w:trPr>
          <w:trHeight w:val="81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7E1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Aktywizacja społeczna i zawodowa osób zagrożonych ubóstwem lub wykluczeniem społecznym, osób biernych zawodowo, w tym wsparcie na rzecz osób z niepełnosprawnościami oraz ich rodzin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E09D9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CA218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371E0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865642" w:rsidRPr="00865642" w14:paraId="24F20BCD" w14:textId="77777777" w:rsidTr="00227C8A">
        <w:trPr>
          <w:trHeight w:val="6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199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Usługi wsparcia dla rozwoju ekonomii społecznej z wyłączeniem środków na dotacje na tworzenie i utrzymanie miejsc pracy, które są dofinansowane z budżetu państwa w 100%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4E142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29E7B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6B81D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865642" w:rsidRPr="00865642" w14:paraId="1DE50741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416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lastRenderedPageBreak/>
              <w:t>Wsparcie w zakresie dostępności cyfrowej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16E2C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C6353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0B6316" w14:textId="77777777" w:rsidR="00865642" w:rsidRPr="00865642" w:rsidRDefault="00865642" w:rsidP="00865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227C8A" w:rsidRPr="00865642" w14:paraId="4D17F902" w14:textId="77777777" w:rsidTr="00A71CA1">
        <w:trPr>
          <w:trHeight w:val="34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EA78" w14:textId="71EE6F74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227C8A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Realizacja inicjatywy ALMA skierowanej do osób młodych należących do kategorii NEET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F1E359" w14:textId="20A64DE4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AB9A70" w14:textId="2706E4CB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506AA4" w14:textId="4E8405BB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227C8A" w:rsidRPr="00865642" w14:paraId="21575E06" w14:textId="77777777" w:rsidTr="00A71CA1">
        <w:trPr>
          <w:trHeight w:val="19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5CB8" w14:textId="47983418" w:rsidR="00227C8A" w:rsidRPr="00227C8A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227C8A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Działania antydyskryminacyjne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1DDE3B" w14:textId="0763EAAC" w:rsidR="00227C8A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E339AE" w14:textId="1F2E7871" w:rsidR="00227C8A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87D2F" w14:textId="54CF441E" w:rsidR="00227C8A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227C8A" w:rsidRPr="00865642" w14:paraId="74A53707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E4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B5509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1F970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B2131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227C8A" w:rsidRPr="00865642" w14:paraId="1E1F938C" w14:textId="77777777" w:rsidTr="00227C8A">
        <w:trPr>
          <w:trHeight w:val="23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0CC5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(i) Wspieranie integracji społeczno-gospodarczej obywateli państw trzecich, w tym migrantów (EFS+)</w:t>
            </w:r>
          </w:p>
        </w:tc>
      </w:tr>
      <w:tr w:rsidR="00227C8A" w:rsidRPr="00865642" w14:paraId="53EF1621" w14:textId="77777777" w:rsidTr="00227C8A">
        <w:trPr>
          <w:trHeight w:val="5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1B42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Wspieranie integracji społeczno-gospodarczej obywateli państw trzecich oraz usługi dla cudzoziemców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5E7734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FB4F2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D8474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227C8A" w:rsidRPr="00865642" w14:paraId="7ED189A6" w14:textId="77777777" w:rsidTr="00227C8A">
        <w:trPr>
          <w:trHeight w:val="16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CE7A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DD3A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E2D8D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6394F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227C8A" w:rsidRPr="00865642" w14:paraId="14C06779" w14:textId="77777777" w:rsidTr="00227C8A">
        <w:trPr>
          <w:trHeight w:val="26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B28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(j) Wspieranie integracji społeczno-gospodarczej społeczności marginalizowanych, takich jak Romowie (EFS+)</w:t>
            </w:r>
          </w:p>
        </w:tc>
      </w:tr>
      <w:tr w:rsidR="00227C8A" w:rsidRPr="00865642" w14:paraId="5571AFCC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52C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Aktywizacja społeczno-zawodowa członków społeczności marginalizowanych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AF450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B6E3C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0F771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227C8A" w:rsidRPr="00865642" w14:paraId="1DFC94A2" w14:textId="77777777" w:rsidTr="00227C8A">
        <w:trPr>
          <w:trHeight w:val="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7CB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A1B2B1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50EFC5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B0647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227C8A" w:rsidRPr="00865642" w14:paraId="655AECA2" w14:textId="77777777" w:rsidTr="00227C8A">
        <w:trPr>
          <w:trHeight w:val="105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BF39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(EFS+)</w:t>
            </w:r>
          </w:p>
        </w:tc>
      </w:tr>
      <w:tr w:rsidR="00227C8A" w:rsidRPr="00865642" w14:paraId="71A362D2" w14:textId="77777777" w:rsidTr="00227C8A">
        <w:trPr>
          <w:trHeight w:val="16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F7AA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 xml:space="preserve">Zwiększenie dostępności do usług społecznych, w tym wsparcie procesu </w:t>
            </w:r>
            <w:proofErr w:type="spellStart"/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deinstytucjonalizacji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E156A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869A4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95BCC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227C8A" w:rsidRPr="00865642" w14:paraId="49B7AA94" w14:textId="77777777" w:rsidTr="00227C8A">
        <w:trPr>
          <w:trHeight w:val="28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0E99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obszarze ochrony zdrowia i usług opieki długoterminowej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3C440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C755D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F2768" w14:textId="77777777" w:rsidR="00227C8A" w:rsidRPr="00865642" w:rsidRDefault="00227C8A" w:rsidP="00227C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5E427A" w:rsidRPr="00865642" w14:paraId="7DD732D8" w14:textId="77777777" w:rsidTr="00A71CA1">
        <w:trPr>
          <w:trHeight w:val="64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F83" w14:textId="72FEDA0F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5E427A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 xml:space="preserve">Działania podnoszące kwalifikacje i kompetencje kadr na potrzeby świadczenia usług w społeczności lokalnej oraz zapewnienie dostępu do </w:t>
            </w:r>
            <w:proofErr w:type="spellStart"/>
            <w:r w:rsidRPr="005E427A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superwizji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8C193" w14:textId="306C8480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36D6FB" w14:textId="4E23E1BD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E225F7" w14:textId="5197F530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5E427A" w:rsidRPr="00865642" w14:paraId="260D6926" w14:textId="77777777" w:rsidTr="00227C8A">
        <w:trPr>
          <w:trHeight w:val="15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BE4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Pozostałe projekty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B716C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1B33E5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A2B52E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0,00%</w:t>
            </w:r>
          </w:p>
        </w:tc>
      </w:tr>
      <w:tr w:rsidR="005E427A" w:rsidRPr="00865642" w14:paraId="4C8E1E46" w14:textId="77777777" w:rsidTr="00227C8A">
        <w:trPr>
          <w:trHeight w:val="227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9C90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(l) Wspieranie integracji społecznej osób zagrożonych ubóstwem lub wykluczeniem społecznym, w tym osób najbardziej potrzebujących i dzieci (EFS+)</w:t>
            </w:r>
          </w:p>
        </w:tc>
      </w:tr>
      <w:tr w:rsidR="005E427A" w:rsidRPr="00865642" w14:paraId="644D55FF" w14:textId="77777777" w:rsidTr="00A71CA1">
        <w:trPr>
          <w:trHeight w:val="68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34E1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Wsparcie w zakresie integracji społecznej osób zagrożonych ubóstwem lub wykluczeniem społecznym, w tym osób najbardziej potrzebujących i dzieci (wszystkie projekty)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56039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9454C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4563E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5E427A" w:rsidRPr="00865642" w14:paraId="593630EF" w14:textId="77777777" w:rsidTr="00227C8A">
        <w:trPr>
          <w:trHeight w:val="162"/>
        </w:trPr>
        <w:tc>
          <w:tcPr>
            <w:tcW w:w="9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910CD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</w:p>
        </w:tc>
      </w:tr>
      <w:tr w:rsidR="005E427A" w:rsidRPr="00865642" w14:paraId="128A37BE" w14:textId="77777777" w:rsidTr="00A71CA1">
        <w:trPr>
          <w:trHeight w:val="16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1DF7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/>
                <w:bCs/>
                <w:i/>
                <w:sz w:val="18"/>
                <w:szCs w:val="18"/>
                <w:lang w:eastAsia="pl-PL"/>
              </w:rPr>
              <w:t>(a-l) Wszystkie cele szczegółowe w ramach EFS+ możliwe do realizacji na poziomie regionalnym</w:t>
            </w:r>
          </w:p>
        </w:tc>
      </w:tr>
      <w:tr w:rsidR="005E427A" w:rsidRPr="00865642" w14:paraId="3262C9A5" w14:textId="77777777" w:rsidTr="00A71CA1">
        <w:trPr>
          <w:trHeight w:val="52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9318A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Wszystkie projekty dotyczące budowania potencjału organizacji pozarządowych lub partnerów społecznych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E59D8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97DB9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8FC46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right"/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</w:pPr>
            <w:r w:rsidRPr="00865642">
              <w:rPr>
                <w:rFonts w:ascii="Century Gothic" w:eastAsia="Times New Roman" w:hAnsi="Century Gothic" w:cs="Calibri"/>
                <w:bCs/>
                <w:i/>
                <w:sz w:val="18"/>
                <w:szCs w:val="18"/>
                <w:lang w:eastAsia="pl-PL"/>
              </w:rPr>
              <w:t>45,00%</w:t>
            </w:r>
          </w:p>
        </w:tc>
      </w:tr>
      <w:tr w:rsidR="005E427A" w:rsidRPr="00865642" w14:paraId="39956E9A" w14:textId="77777777" w:rsidTr="00227C8A">
        <w:trPr>
          <w:trHeight w:val="554"/>
        </w:trPr>
        <w:tc>
          <w:tcPr>
            <w:tcW w:w="90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DE8BF9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before="240" w:after="240" w:line="240" w:lineRule="auto"/>
              <w:contextualSpacing/>
              <w:jc w:val="both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</w:p>
          <w:p w14:paraId="7EAC7870" w14:textId="77777777" w:rsidR="005E427A" w:rsidRPr="00865642" w:rsidRDefault="005E427A" w:rsidP="005E42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before="240" w:after="240" w:line="240" w:lineRule="auto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24"/>
                <w:lang w:eastAsia="pl-PL"/>
              </w:rPr>
            </w:pPr>
            <w:r w:rsidRPr="0086564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Uwaga:</w:t>
            </w:r>
            <w:r w:rsidRPr="00865642">
              <w:rPr>
                <w:rFonts w:ascii="Century Gothic" w:eastAsia="Calibri" w:hAnsi="Century Gothic" w:cs="Calibri"/>
                <w:sz w:val="18"/>
                <w:szCs w:val="18"/>
              </w:rPr>
              <w:t xml:space="preserve"> W przypadku wsparcia realizowanego w postaci instrumentów finansowych (w dowolnym celu szczegółowym) dofinansowanie z budżetu państwa nie jest możliwe.</w:t>
            </w:r>
          </w:p>
        </w:tc>
      </w:tr>
    </w:tbl>
    <w:p w14:paraId="4018BD33" w14:textId="77777777" w:rsidR="00ED4296" w:rsidRPr="00187A8A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  <w:highlight w:val="yellow"/>
        </w:rPr>
      </w:pPr>
      <w:r w:rsidRPr="00187A8A"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101F1CBB" w14:textId="6927CD2E" w:rsidR="00ED4296" w:rsidRPr="008A0C4E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01196F" w:rsidRPr="008A0C4E">
        <w:rPr>
          <w:rFonts w:ascii="Century Gothic" w:hAnsi="Century Gothic"/>
          <w:sz w:val="20"/>
          <w:szCs w:val="20"/>
        </w:rPr>
        <w:t>7</w:t>
      </w:r>
    </w:p>
    <w:p w14:paraId="7B3A0299" w14:textId="65495A73" w:rsidR="00F14E5E" w:rsidRPr="0001196F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i/>
          <w:iCs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Algorytm przeliczania środków budżetu państwa w odniesieniu do środków pochodzących z EFRR, EFS+ oraz FST</w:t>
      </w:r>
    </w:p>
    <w:sectPr w:rsidR="00F14E5E" w:rsidRPr="000119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F15D" w14:textId="77777777" w:rsidR="005844D7" w:rsidRDefault="005844D7" w:rsidP="00BA6CB9">
      <w:pPr>
        <w:spacing w:after="0" w:line="240" w:lineRule="auto"/>
      </w:pPr>
      <w:r>
        <w:separator/>
      </w:r>
    </w:p>
  </w:endnote>
  <w:endnote w:type="continuationSeparator" w:id="0">
    <w:p w14:paraId="13A194B8" w14:textId="77777777" w:rsidR="005844D7" w:rsidRDefault="005844D7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1168241715"/>
      <w:docPartObj>
        <w:docPartGallery w:val="Page Numbers (Bottom of Page)"/>
        <w:docPartUnique/>
      </w:docPartObj>
    </w:sdtPr>
    <w:sdtEndPr/>
    <w:sdtContent>
      <w:p w14:paraId="7A372AFF" w14:textId="77777777" w:rsidR="00ED4296" w:rsidRPr="00D66457" w:rsidRDefault="00ED4296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D66457">
          <w:rPr>
            <w:rFonts w:ascii="Century Gothic" w:hAnsi="Century Gothic"/>
            <w:sz w:val="20"/>
            <w:szCs w:val="20"/>
          </w:rPr>
          <w:fldChar w:fldCharType="begin"/>
        </w:r>
        <w:r w:rsidRPr="00D664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D66457">
          <w:rPr>
            <w:rFonts w:ascii="Century Gothic" w:hAnsi="Century Gothic"/>
            <w:sz w:val="20"/>
            <w:szCs w:val="20"/>
          </w:rPr>
          <w:fldChar w:fldCharType="separate"/>
        </w:r>
        <w:r w:rsidRPr="00D66457">
          <w:rPr>
            <w:rFonts w:ascii="Century Gothic" w:hAnsi="Century Gothic"/>
            <w:sz w:val="20"/>
            <w:szCs w:val="20"/>
          </w:rPr>
          <w:t>2</w:t>
        </w:r>
        <w:r w:rsidRPr="00D664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0634D251" w:rsidR="0037742A" w:rsidRPr="00C97288" w:rsidRDefault="0037742A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Pr="00C97288">
          <w:rPr>
            <w:rFonts w:ascii="Century Gothic" w:hAnsi="Century Gothic"/>
            <w:sz w:val="20"/>
            <w:szCs w:val="20"/>
          </w:rPr>
          <w:t>2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0CD7" w14:textId="77777777" w:rsidR="005844D7" w:rsidRDefault="005844D7" w:rsidP="00BA6CB9">
      <w:pPr>
        <w:spacing w:after="0" w:line="240" w:lineRule="auto"/>
      </w:pPr>
      <w:r>
        <w:separator/>
      </w:r>
    </w:p>
  </w:footnote>
  <w:footnote w:type="continuationSeparator" w:id="0">
    <w:p w14:paraId="77AD8304" w14:textId="77777777" w:rsidR="005844D7" w:rsidRDefault="005844D7" w:rsidP="00BA6CB9">
      <w:pPr>
        <w:spacing w:after="0" w:line="240" w:lineRule="auto"/>
      </w:pPr>
      <w:r>
        <w:continuationSeparator/>
      </w:r>
    </w:p>
  </w:footnote>
  <w:footnote w:id="1">
    <w:p w14:paraId="34C0E4FC" w14:textId="77777777" w:rsidR="00865642" w:rsidRPr="00FF7964" w:rsidRDefault="00865642" w:rsidP="00865642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FF796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FF7964">
        <w:rPr>
          <w:rFonts w:ascii="Century Gothic" w:hAnsi="Century Gothic"/>
          <w:sz w:val="18"/>
          <w:szCs w:val="18"/>
        </w:rPr>
        <w:t xml:space="preserve"> W przypadku, gdy Instytucja Zarządzająca Programem Regionalnym zdecyduje się na realizację inicjatywy ALMA w celu szczegółowym (h) lub innym celu dozwolonym przez Komisję Europejską dla tej inicjatywy, należy zastosować analogiczny poziom dofinansowania ze środków budżetu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E20848"/>
    <w:multiLevelType w:val="hybridMultilevel"/>
    <w:tmpl w:val="96C6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854"/>
    <w:multiLevelType w:val="hybridMultilevel"/>
    <w:tmpl w:val="73AAA4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24D5A"/>
    <w:multiLevelType w:val="hybridMultilevel"/>
    <w:tmpl w:val="E8A6B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52BB"/>
    <w:multiLevelType w:val="hybridMultilevel"/>
    <w:tmpl w:val="F5A8F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527B"/>
    <w:multiLevelType w:val="hybridMultilevel"/>
    <w:tmpl w:val="E7B0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CBC"/>
    <w:multiLevelType w:val="hybridMultilevel"/>
    <w:tmpl w:val="385EF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12726"/>
    <w:multiLevelType w:val="hybridMultilevel"/>
    <w:tmpl w:val="2F4CED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215EC1"/>
    <w:multiLevelType w:val="hybridMultilevel"/>
    <w:tmpl w:val="D5BA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47DC5"/>
    <w:multiLevelType w:val="hybridMultilevel"/>
    <w:tmpl w:val="91340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E6"/>
    <w:multiLevelType w:val="hybridMultilevel"/>
    <w:tmpl w:val="4F6A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12015"/>
    <w:multiLevelType w:val="hybridMultilevel"/>
    <w:tmpl w:val="F214A086"/>
    <w:lvl w:ilvl="0" w:tplc="2472B32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53347BAC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B75A79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30928"/>
    <w:multiLevelType w:val="hybridMultilevel"/>
    <w:tmpl w:val="1FAA1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B6877"/>
    <w:multiLevelType w:val="hybridMultilevel"/>
    <w:tmpl w:val="A3103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261E"/>
    <w:multiLevelType w:val="hybridMultilevel"/>
    <w:tmpl w:val="0AFA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3A1C"/>
    <w:multiLevelType w:val="hybridMultilevel"/>
    <w:tmpl w:val="D6702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D3C92"/>
    <w:multiLevelType w:val="hybridMultilevel"/>
    <w:tmpl w:val="D29C2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E3"/>
    <w:multiLevelType w:val="hybridMultilevel"/>
    <w:tmpl w:val="6E9CEB66"/>
    <w:lvl w:ilvl="0" w:tplc="624EE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D22F3"/>
    <w:multiLevelType w:val="hybridMultilevel"/>
    <w:tmpl w:val="D93C8EA6"/>
    <w:lvl w:ilvl="0" w:tplc="0DAE297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32A43A4E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plc="3CA01F3A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plc="6A7C8CFA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plc="D834DE7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85940BC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22CBA4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6D4FD8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AEAEE53A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3C20ECF"/>
    <w:multiLevelType w:val="hybridMultilevel"/>
    <w:tmpl w:val="8724CF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276DC0"/>
    <w:multiLevelType w:val="hybridMultilevel"/>
    <w:tmpl w:val="E5EAC170"/>
    <w:lvl w:ilvl="0" w:tplc="E22C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17FA8"/>
    <w:multiLevelType w:val="hybridMultilevel"/>
    <w:tmpl w:val="747662CE"/>
    <w:lvl w:ilvl="0" w:tplc="D332B688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8102DF"/>
    <w:multiLevelType w:val="hybridMultilevel"/>
    <w:tmpl w:val="8348E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545FC"/>
    <w:multiLevelType w:val="hybridMultilevel"/>
    <w:tmpl w:val="21D8B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121F3"/>
    <w:multiLevelType w:val="hybridMultilevel"/>
    <w:tmpl w:val="162AB894"/>
    <w:lvl w:ilvl="0" w:tplc="65BC4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073"/>
    <w:multiLevelType w:val="hybridMultilevel"/>
    <w:tmpl w:val="A85C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4793E"/>
    <w:multiLevelType w:val="hybridMultilevel"/>
    <w:tmpl w:val="2C9260A0"/>
    <w:lvl w:ilvl="0" w:tplc="75F6CC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717AB1"/>
    <w:multiLevelType w:val="hybridMultilevel"/>
    <w:tmpl w:val="422640E8"/>
    <w:lvl w:ilvl="0" w:tplc="79C290BE">
      <w:start w:val="1"/>
      <w:numFmt w:val="decimal"/>
      <w:lvlText w:val="%1."/>
      <w:lvlJc w:val="left"/>
      <w:pPr>
        <w:ind w:left="720" w:hanging="360"/>
      </w:pPr>
    </w:lvl>
    <w:lvl w:ilvl="1" w:tplc="52F88A96">
      <w:start w:val="1"/>
      <w:numFmt w:val="lowerLetter"/>
      <w:lvlText w:val="%2."/>
      <w:lvlJc w:val="left"/>
      <w:pPr>
        <w:ind w:left="1440" w:hanging="360"/>
      </w:pPr>
    </w:lvl>
    <w:lvl w:ilvl="2" w:tplc="40E4B80C">
      <w:start w:val="1"/>
      <w:numFmt w:val="lowerRoman"/>
      <w:lvlText w:val="%3."/>
      <w:lvlJc w:val="right"/>
      <w:pPr>
        <w:ind w:left="2160" w:hanging="180"/>
      </w:pPr>
    </w:lvl>
    <w:lvl w:ilvl="3" w:tplc="566CE4DA">
      <w:start w:val="1"/>
      <w:numFmt w:val="decimal"/>
      <w:lvlText w:val="%4."/>
      <w:lvlJc w:val="left"/>
      <w:pPr>
        <w:ind w:left="2880" w:hanging="360"/>
      </w:pPr>
    </w:lvl>
    <w:lvl w:ilvl="4" w:tplc="3398B06E">
      <w:start w:val="1"/>
      <w:numFmt w:val="lowerLetter"/>
      <w:lvlText w:val="%5."/>
      <w:lvlJc w:val="left"/>
      <w:pPr>
        <w:ind w:left="3600" w:hanging="360"/>
      </w:pPr>
    </w:lvl>
    <w:lvl w:ilvl="5" w:tplc="DFE050F0">
      <w:start w:val="1"/>
      <w:numFmt w:val="lowerRoman"/>
      <w:lvlText w:val="%6."/>
      <w:lvlJc w:val="right"/>
      <w:pPr>
        <w:ind w:left="4320" w:hanging="180"/>
      </w:pPr>
    </w:lvl>
    <w:lvl w:ilvl="6" w:tplc="6E3EA8FC">
      <w:start w:val="1"/>
      <w:numFmt w:val="decimal"/>
      <w:lvlText w:val="%7."/>
      <w:lvlJc w:val="left"/>
      <w:pPr>
        <w:ind w:left="5040" w:hanging="360"/>
      </w:pPr>
    </w:lvl>
    <w:lvl w:ilvl="7" w:tplc="595A679E">
      <w:start w:val="1"/>
      <w:numFmt w:val="lowerLetter"/>
      <w:lvlText w:val="%8."/>
      <w:lvlJc w:val="left"/>
      <w:pPr>
        <w:ind w:left="5760" w:hanging="360"/>
      </w:pPr>
    </w:lvl>
    <w:lvl w:ilvl="8" w:tplc="962456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54D3"/>
    <w:multiLevelType w:val="hybridMultilevel"/>
    <w:tmpl w:val="B52E2E4C"/>
    <w:lvl w:ilvl="0" w:tplc="6492B4C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99275B4">
      <w:start w:val="1"/>
      <w:numFmt w:val="lowerLetter"/>
      <w:lvlText w:val="%2."/>
      <w:lvlJc w:val="left"/>
      <w:pPr>
        <w:ind w:left="1440" w:hanging="360"/>
      </w:pPr>
    </w:lvl>
    <w:lvl w:ilvl="2" w:tplc="F1C6C08C">
      <w:start w:val="1"/>
      <w:numFmt w:val="lowerRoman"/>
      <w:lvlText w:val="%3."/>
      <w:lvlJc w:val="right"/>
      <w:pPr>
        <w:ind w:left="2160" w:hanging="180"/>
      </w:pPr>
    </w:lvl>
    <w:lvl w:ilvl="3" w:tplc="331CFFC8">
      <w:start w:val="1"/>
      <w:numFmt w:val="decimal"/>
      <w:lvlText w:val="%4."/>
      <w:lvlJc w:val="left"/>
      <w:pPr>
        <w:ind w:left="2880" w:hanging="360"/>
      </w:pPr>
    </w:lvl>
    <w:lvl w:ilvl="4" w:tplc="30D023DC">
      <w:start w:val="1"/>
      <w:numFmt w:val="lowerLetter"/>
      <w:lvlText w:val="%5."/>
      <w:lvlJc w:val="left"/>
      <w:pPr>
        <w:ind w:left="3600" w:hanging="360"/>
      </w:pPr>
    </w:lvl>
    <w:lvl w:ilvl="5" w:tplc="FE44010E">
      <w:start w:val="1"/>
      <w:numFmt w:val="lowerRoman"/>
      <w:lvlText w:val="%6."/>
      <w:lvlJc w:val="right"/>
      <w:pPr>
        <w:ind w:left="4320" w:hanging="180"/>
      </w:pPr>
    </w:lvl>
    <w:lvl w:ilvl="6" w:tplc="F15AD35E">
      <w:start w:val="1"/>
      <w:numFmt w:val="decimal"/>
      <w:lvlText w:val="%7."/>
      <w:lvlJc w:val="left"/>
      <w:pPr>
        <w:ind w:left="5040" w:hanging="360"/>
      </w:pPr>
    </w:lvl>
    <w:lvl w:ilvl="7" w:tplc="6AAA6D04">
      <w:start w:val="1"/>
      <w:numFmt w:val="lowerLetter"/>
      <w:lvlText w:val="%8."/>
      <w:lvlJc w:val="left"/>
      <w:pPr>
        <w:ind w:left="5760" w:hanging="360"/>
      </w:pPr>
    </w:lvl>
    <w:lvl w:ilvl="8" w:tplc="8A9631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E25B9"/>
    <w:multiLevelType w:val="hybridMultilevel"/>
    <w:tmpl w:val="ED3CD4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23156"/>
    <w:multiLevelType w:val="hybridMultilevel"/>
    <w:tmpl w:val="86F292E8"/>
    <w:lvl w:ilvl="0" w:tplc="4D3203A8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7E4773"/>
    <w:multiLevelType w:val="hybridMultilevel"/>
    <w:tmpl w:val="78642D62"/>
    <w:lvl w:ilvl="0" w:tplc="298EB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F7394"/>
    <w:multiLevelType w:val="hybridMultilevel"/>
    <w:tmpl w:val="DF14B926"/>
    <w:lvl w:ilvl="0" w:tplc="CC8E21F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9407E"/>
    <w:multiLevelType w:val="hybridMultilevel"/>
    <w:tmpl w:val="E05011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3A0903"/>
    <w:multiLevelType w:val="hybridMultilevel"/>
    <w:tmpl w:val="157A43C4"/>
    <w:lvl w:ilvl="0" w:tplc="35B6D0E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</w:rPr>
    </w:lvl>
    <w:lvl w:ilvl="1" w:tplc="03F677B0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plc="FC585D8A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plc="0AAE18E4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plc="6262D64A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8644622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74DEDBA2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6366ACF2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2AEE4A4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32"/>
  </w:num>
  <w:num w:numId="4">
    <w:abstractNumId w:val="3"/>
  </w:num>
  <w:num w:numId="5">
    <w:abstractNumId w:val="23"/>
  </w:num>
  <w:num w:numId="6">
    <w:abstractNumId w:val="5"/>
  </w:num>
  <w:num w:numId="7">
    <w:abstractNumId w:val="21"/>
  </w:num>
  <w:num w:numId="8">
    <w:abstractNumId w:val="1"/>
  </w:num>
  <w:num w:numId="9">
    <w:abstractNumId w:val="24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18"/>
  </w:num>
  <w:num w:numId="15">
    <w:abstractNumId w:val="15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  <w:num w:numId="20">
    <w:abstractNumId w:val="17"/>
  </w:num>
  <w:num w:numId="21">
    <w:abstractNumId w:val="33"/>
  </w:num>
  <w:num w:numId="22">
    <w:abstractNumId w:val="26"/>
  </w:num>
  <w:num w:numId="23">
    <w:abstractNumId w:val="2"/>
  </w:num>
  <w:num w:numId="24">
    <w:abstractNumId w:val="22"/>
  </w:num>
  <w:num w:numId="25">
    <w:abstractNumId w:val="11"/>
  </w:num>
  <w:num w:numId="26">
    <w:abstractNumId w:val="29"/>
  </w:num>
  <w:num w:numId="27">
    <w:abstractNumId w:val="28"/>
  </w:num>
  <w:num w:numId="28">
    <w:abstractNumId w:val="35"/>
  </w:num>
  <w:num w:numId="29">
    <w:abstractNumId w:val="19"/>
  </w:num>
  <w:num w:numId="30">
    <w:abstractNumId w:val="6"/>
  </w:num>
  <w:num w:numId="31">
    <w:abstractNumId w:val="27"/>
  </w:num>
  <w:num w:numId="32">
    <w:abstractNumId w:val="30"/>
  </w:num>
  <w:num w:numId="33">
    <w:abstractNumId w:val="31"/>
  </w:num>
  <w:num w:numId="34">
    <w:abstractNumId w:val="20"/>
  </w:num>
  <w:num w:numId="35">
    <w:abstractNumId w:val="34"/>
  </w:num>
  <w:num w:numId="3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05"/>
    <w:rsid w:val="0001196F"/>
    <w:rsid w:val="00014E6A"/>
    <w:rsid w:val="00046DC1"/>
    <w:rsid w:val="000C0127"/>
    <w:rsid w:val="000C4C9C"/>
    <w:rsid w:val="000E544E"/>
    <w:rsid w:val="000F4124"/>
    <w:rsid w:val="000F5CC5"/>
    <w:rsid w:val="00101769"/>
    <w:rsid w:val="00121389"/>
    <w:rsid w:val="00171EB9"/>
    <w:rsid w:val="001839AD"/>
    <w:rsid w:val="00187A8A"/>
    <w:rsid w:val="0019700B"/>
    <w:rsid w:val="001B40B4"/>
    <w:rsid w:val="001B5A17"/>
    <w:rsid w:val="001D42E7"/>
    <w:rsid w:val="00211BEE"/>
    <w:rsid w:val="00227C8A"/>
    <w:rsid w:val="00237EB6"/>
    <w:rsid w:val="00245A59"/>
    <w:rsid w:val="00246DDD"/>
    <w:rsid w:val="00263EDC"/>
    <w:rsid w:val="00272668"/>
    <w:rsid w:val="0029515F"/>
    <w:rsid w:val="002A7099"/>
    <w:rsid w:val="002E363A"/>
    <w:rsid w:val="002E41FA"/>
    <w:rsid w:val="002E6705"/>
    <w:rsid w:val="00322428"/>
    <w:rsid w:val="00337BEE"/>
    <w:rsid w:val="0034357D"/>
    <w:rsid w:val="0037742A"/>
    <w:rsid w:val="003803A7"/>
    <w:rsid w:val="00382635"/>
    <w:rsid w:val="00383B29"/>
    <w:rsid w:val="003906F3"/>
    <w:rsid w:val="003935E2"/>
    <w:rsid w:val="003A2C2B"/>
    <w:rsid w:val="003A31C0"/>
    <w:rsid w:val="003B4279"/>
    <w:rsid w:val="003C0EF2"/>
    <w:rsid w:val="003C385B"/>
    <w:rsid w:val="003D02A9"/>
    <w:rsid w:val="003E3274"/>
    <w:rsid w:val="003F3DE7"/>
    <w:rsid w:val="003F4555"/>
    <w:rsid w:val="004220A0"/>
    <w:rsid w:val="00423CC9"/>
    <w:rsid w:val="00434F1F"/>
    <w:rsid w:val="0044528E"/>
    <w:rsid w:val="004466B8"/>
    <w:rsid w:val="0045075E"/>
    <w:rsid w:val="00455D74"/>
    <w:rsid w:val="0046613D"/>
    <w:rsid w:val="00485627"/>
    <w:rsid w:val="004D6AA2"/>
    <w:rsid w:val="004E7896"/>
    <w:rsid w:val="005067A8"/>
    <w:rsid w:val="005118F1"/>
    <w:rsid w:val="00547823"/>
    <w:rsid w:val="0055176F"/>
    <w:rsid w:val="00567A66"/>
    <w:rsid w:val="00575C10"/>
    <w:rsid w:val="00582AB2"/>
    <w:rsid w:val="005844D7"/>
    <w:rsid w:val="00594546"/>
    <w:rsid w:val="005A1BC9"/>
    <w:rsid w:val="005C5174"/>
    <w:rsid w:val="005D12EF"/>
    <w:rsid w:val="005E427A"/>
    <w:rsid w:val="005E5A36"/>
    <w:rsid w:val="005E6986"/>
    <w:rsid w:val="005E7FBC"/>
    <w:rsid w:val="005F0C82"/>
    <w:rsid w:val="0060653E"/>
    <w:rsid w:val="006423E0"/>
    <w:rsid w:val="00646743"/>
    <w:rsid w:val="006636BB"/>
    <w:rsid w:val="006678F4"/>
    <w:rsid w:val="006712AB"/>
    <w:rsid w:val="006730F7"/>
    <w:rsid w:val="006914CC"/>
    <w:rsid w:val="006A4C55"/>
    <w:rsid w:val="006A656A"/>
    <w:rsid w:val="006C00AB"/>
    <w:rsid w:val="006D6321"/>
    <w:rsid w:val="006E0784"/>
    <w:rsid w:val="0073773C"/>
    <w:rsid w:val="00747F5E"/>
    <w:rsid w:val="00756156"/>
    <w:rsid w:val="00757105"/>
    <w:rsid w:val="00760E42"/>
    <w:rsid w:val="0077341E"/>
    <w:rsid w:val="0077792E"/>
    <w:rsid w:val="00786294"/>
    <w:rsid w:val="007C7CE6"/>
    <w:rsid w:val="007E087D"/>
    <w:rsid w:val="007F6650"/>
    <w:rsid w:val="008119C6"/>
    <w:rsid w:val="00831FF1"/>
    <w:rsid w:val="008450DA"/>
    <w:rsid w:val="00856B0A"/>
    <w:rsid w:val="00865642"/>
    <w:rsid w:val="00876291"/>
    <w:rsid w:val="008A0C4E"/>
    <w:rsid w:val="008A34DE"/>
    <w:rsid w:val="008D5FFE"/>
    <w:rsid w:val="00901101"/>
    <w:rsid w:val="0092189A"/>
    <w:rsid w:val="0094230A"/>
    <w:rsid w:val="0094572D"/>
    <w:rsid w:val="009477DA"/>
    <w:rsid w:val="009510EB"/>
    <w:rsid w:val="009833CD"/>
    <w:rsid w:val="00993F83"/>
    <w:rsid w:val="009A26FE"/>
    <w:rsid w:val="009B19A4"/>
    <w:rsid w:val="009D462E"/>
    <w:rsid w:val="009E76B2"/>
    <w:rsid w:val="00A06C24"/>
    <w:rsid w:val="00A06E7E"/>
    <w:rsid w:val="00A71CA1"/>
    <w:rsid w:val="00AA2DA3"/>
    <w:rsid w:val="00AB1701"/>
    <w:rsid w:val="00AC3476"/>
    <w:rsid w:val="00AD4C7D"/>
    <w:rsid w:val="00AF5636"/>
    <w:rsid w:val="00B01F5F"/>
    <w:rsid w:val="00B03F59"/>
    <w:rsid w:val="00B239A2"/>
    <w:rsid w:val="00B72DB4"/>
    <w:rsid w:val="00B80310"/>
    <w:rsid w:val="00B807ED"/>
    <w:rsid w:val="00B90B9C"/>
    <w:rsid w:val="00B90BFD"/>
    <w:rsid w:val="00BA6CB9"/>
    <w:rsid w:val="00BD0552"/>
    <w:rsid w:val="00BF2455"/>
    <w:rsid w:val="00C45222"/>
    <w:rsid w:val="00C648B6"/>
    <w:rsid w:val="00C77C29"/>
    <w:rsid w:val="00C813F6"/>
    <w:rsid w:val="00C86E86"/>
    <w:rsid w:val="00C87047"/>
    <w:rsid w:val="00C93DE6"/>
    <w:rsid w:val="00C95E41"/>
    <w:rsid w:val="00C96185"/>
    <w:rsid w:val="00C97288"/>
    <w:rsid w:val="00CD3EE2"/>
    <w:rsid w:val="00D04F48"/>
    <w:rsid w:val="00D66457"/>
    <w:rsid w:val="00D66923"/>
    <w:rsid w:val="00D67721"/>
    <w:rsid w:val="00DA2727"/>
    <w:rsid w:val="00DB4854"/>
    <w:rsid w:val="00E0665D"/>
    <w:rsid w:val="00E223A4"/>
    <w:rsid w:val="00E24260"/>
    <w:rsid w:val="00E65F22"/>
    <w:rsid w:val="00EA4EEA"/>
    <w:rsid w:val="00EC4EDD"/>
    <w:rsid w:val="00ED4296"/>
    <w:rsid w:val="00EF1FFA"/>
    <w:rsid w:val="00F14E5E"/>
    <w:rsid w:val="00F17790"/>
    <w:rsid w:val="00F24EB7"/>
    <w:rsid w:val="00F53574"/>
    <w:rsid w:val="00F54E9D"/>
    <w:rsid w:val="00F76D1B"/>
    <w:rsid w:val="00F86125"/>
    <w:rsid w:val="00FB0E6C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uiPriority w:val="34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90BFD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BF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0BFD"/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uiPriority w:val="34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ACA1-95CD-4A2F-A1ED-B778131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6356</Words>
  <Characters>38138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Sieradzon Wojciech</dc:creator>
  <cp:keywords/>
  <dc:description/>
  <cp:lastModifiedBy>Sieradzon Wojciech</cp:lastModifiedBy>
  <cp:revision>9</cp:revision>
  <cp:lastPrinted>2023-04-26T09:59:00Z</cp:lastPrinted>
  <dcterms:created xsi:type="dcterms:W3CDTF">2023-04-17T08:59:00Z</dcterms:created>
  <dcterms:modified xsi:type="dcterms:W3CDTF">2023-04-26T10:00:00Z</dcterms:modified>
</cp:coreProperties>
</file>