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669" w:rsidRPr="00CC235D" w:rsidRDefault="008C2669">
      <w:pPr>
        <w:pStyle w:val="Tekstpodstawowy"/>
        <w:rPr>
          <w:b w:val="0"/>
        </w:rPr>
      </w:pPr>
    </w:p>
    <w:p w:rsidR="008C2669" w:rsidRPr="00C43CB8" w:rsidRDefault="003511A6" w:rsidP="00C43CB8">
      <w:pPr>
        <w:spacing w:before="100" w:beforeAutospacing="1" w:line="276" w:lineRule="auto"/>
        <w:ind w:left="142"/>
        <w:rPr>
          <w:rFonts w:ascii="Arial" w:hAnsi="Arial" w:cs="Arial"/>
          <w:sz w:val="24"/>
          <w:szCs w:val="24"/>
        </w:rPr>
      </w:pPr>
      <w:r w:rsidRPr="00C43CB8">
        <w:rPr>
          <w:rFonts w:ascii="Arial" w:hAnsi="Arial" w:cs="Arial"/>
          <w:sz w:val="24"/>
          <w:szCs w:val="24"/>
        </w:rPr>
        <w:t xml:space="preserve">Załącznik nr </w:t>
      </w:r>
      <w:r w:rsidR="00B533DC" w:rsidRPr="00C43CB8">
        <w:rPr>
          <w:rFonts w:ascii="Arial" w:hAnsi="Arial" w:cs="Arial"/>
          <w:sz w:val="24"/>
          <w:szCs w:val="24"/>
        </w:rPr>
        <w:t>4</w:t>
      </w:r>
      <w:r w:rsidRPr="00C43CB8">
        <w:rPr>
          <w:rFonts w:ascii="Arial" w:hAnsi="Arial" w:cs="Arial"/>
          <w:sz w:val="24"/>
          <w:szCs w:val="24"/>
        </w:rPr>
        <w:t xml:space="preserve"> do Regulaminu wyboru projektów </w:t>
      </w:r>
      <w:r w:rsidR="00C43CB8" w:rsidRPr="00C43CB8">
        <w:rPr>
          <w:rFonts w:ascii="Arial" w:hAnsi="Arial" w:cs="Arial"/>
          <w:sz w:val="24"/>
          <w:szCs w:val="24"/>
        </w:rPr>
        <w:t xml:space="preserve">- </w:t>
      </w:r>
      <w:r w:rsidR="00F74FD8" w:rsidRPr="00C43CB8">
        <w:rPr>
          <w:sz w:val="24"/>
          <w:szCs w:val="24"/>
        </w:rPr>
        <w:t>Lista definicji wskaźników dla</w:t>
      </w:r>
      <w:r w:rsidR="00F74FD8" w:rsidRPr="00C43CB8">
        <w:rPr>
          <w:spacing w:val="-1"/>
          <w:sz w:val="24"/>
          <w:szCs w:val="24"/>
        </w:rPr>
        <w:t xml:space="preserve"> </w:t>
      </w:r>
      <w:r w:rsidR="00F74FD8" w:rsidRPr="00C43CB8">
        <w:rPr>
          <w:sz w:val="24"/>
          <w:szCs w:val="24"/>
        </w:rPr>
        <w:t>Priorytetu</w:t>
      </w:r>
      <w:r w:rsidR="00F74FD8" w:rsidRPr="00C43CB8">
        <w:rPr>
          <w:spacing w:val="-1"/>
          <w:sz w:val="24"/>
          <w:szCs w:val="24"/>
        </w:rPr>
        <w:t xml:space="preserve"> </w:t>
      </w:r>
      <w:r w:rsidR="00F74FD8" w:rsidRPr="00C43CB8">
        <w:rPr>
          <w:sz w:val="24"/>
          <w:szCs w:val="24"/>
        </w:rPr>
        <w:t>8 Fundusze</w:t>
      </w:r>
      <w:r w:rsidR="00F74FD8" w:rsidRPr="00C43CB8">
        <w:rPr>
          <w:spacing w:val="-1"/>
          <w:sz w:val="24"/>
          <w:szCs w:val="24"/>
        </w:rPr>
        <w:t xml:space="preserve"> </w:t>
      </w:r>
      <w:r w:rsidR="00F74FD8" w:rsidRPr="00C43CB8">
        <w:rPr>
          <w:sz w:val="24"/>
          <w:szCs w:val="24"/>
        </w:rPr>
        <w:t>europejskie</w:t>
      </w:r>
      <w:r w:rsidR="00F74FD8" w:rsidRPr="00C43CB8">
        <w:rPr>
          <w:spacing w:val="1"/>
          <w:sz w:val="24"/>
          <w:szCs w:val="24"/>
        </w:rPr>
        <w:t xml:space="preserve"> </w:t>
      </w:r>
      <w:r w:rsidR="00F74FD8" w:rsidRPr="00C43CB8">
        <w:rPr>
          <w:sz w:val="24"/>
          <w:szCs w:val="24"/>
        </w:rPr>
        <w:t>dla edukacji</w:t>
      </w:r>
      <w:r w:rsidR="00F74FD8" w:rsidRPr="00C43CB8">
        <w:rPr>
          <w:spacing w:val="-1"/>
          <w:sz w:val="24"/>
          <w:szCs w:val="24"/>
        </w:rPr>
        <w:t xml:space="preserve"> </w:t>
      </w:r>
      <w:r w:rsidR="00F74FD8" w:rsidRPr="00C43CB8">
        <w:rPr>
          <w:sz w:val="24"/>
          <w:szCs w:val="24"/>
        </w:rPr>
        <w:t>i</w:t>
      </w:r>
      <w:r w:rsidR="00F74FD8" w:rsidRPr="00C43CB8">
        <w:rPr>
          <w:spacing w:val="-2"/>
          <w:sz w:val="24"/>
          <w:szCs w:val="24"/>
        </w:rPr>
        <w:t xml:space="preserve"> </w:t>
      </w:r>
      <w:r w:rsidR="00F74FD8" w:rsidRPr="00C43CB8">
        <w:rPr>
          <w:sz w:val="24"/>
          <w:szCs w:val="24"/>
        </w:rPr>
        <w:t>kadr</w:t>
      </w:r>
      <w:r w:rsidR="00F74FD8" w:rsidRPr="00C43CB8">
        <w:rPr>
          <w:spacing w:val="-2"/>
          <w:sz w:val="24"/>
          <w:szCs w:val="24"/>
        </w:rPr>
        <w:t xml:space="preserve"> </w:t>
      </w:r>
      <w:r w:rsidR="00F74FD8" w:rsidRPr="00C43CB8">
        <w:rPr>
          <w:sz w:val="24"/>
          <w:szCs w:val="24"/>
        </w:rPr>
        <w:t>w</w:t>
      </w:r>
      <w:r w:rsidR="00F74FD8" w:rsidRPr="00C43CB8">
        <w:rPr>
          <w:spacing w:val="1"/>
          <w:sz w:val="24"/>
          <w:szCs w:val="24"/>
        </w:rPr>
        <w:t xml:space="preserve"> </w:t>
      </w:r>
      <w:r w:rsidR="00F74FD8" w:rsidRPr="00C43CB8">
        <w:rPr>
          <w:sz w:val="24"/>
          <w:szCs w:val="24"/>
        </w:rPr>
        <w:t>Łódzkiem</w:t>
      </w:r>
      <w:r w:rsidRPr="00C43CB8">
        <w:rPr>
          <w:sz w:val="24"/>
          <w:szCs w:val="24"/>
        </w:rPr>
        <w:t>,</w:t>
      </w:r>
      <w:r w:rsidR="00572AC4" w:rsidRPr="00C43CB8">
        <w:rPr>
          <w:sz w:val="24"/>
          <w:szCs w:val="24"/>
        </w:rPr>
        <w:t xml:space="preserve"> Działanie FELD.08.02</w:t>
      </w:r>
      <w:r w:rsidRPr="00C43CB8">
        <w:rPr>
          <w:sz w:val="24"/>
          <w:szCs w:val="24"/>
        </w:rPr>
        <w:t xml:space="preserve"> </w:t>
      </w:r>
      <w:r w:rsidR="00572AC4" w:rsidRPr="00C43CB8">
        <w:rPr>
          <w:sz w:val="24"/>
          <w:szCs w:val="24"/>
        </w:rPr>
        <w:t>Usługi rozwojowe dla pracowników</w:t>
      </w:r>
    </w:p>
    <w:p w:rsidR="008C2669" w:rsidRPr="00CC235D" w:rsidRDefault="008C2669">
      <w:pPr>
        <w:pStyle w:val="Tekstpodstawowy"/>
      </w:pPr>
    </w:p>
    <w:p w:rsidR="008C2669" w:rsidRPr="00CC235D" w:rsidRDefault="00C66872">
      <w:pPr>
        <w:pStyle w:val="Tekstpodstawowy"/>
        <w:spacing w:before="2"/>
        <w:rPr>
          <w:b w:val="0"/>
        </w:rPr>
      </w:pPr>
      <w:r w:rsidRPr="00CC235D">
        <w:rPr>
          <w:b w:val="0"/>
        </w:rPr>
        <w:t>W ramach przedmiotowego naboru obowiązują następujące wskaźniki produktu:</w:t>
      </w:r>
    </w:p>
    <w:p w:rsidR="00C66872" w:rsidRPr="00CC235D" w:rsidRDefault="00C66872">
      <w:pPr>
        <w:pStyle w:val="Tekstpodstawowy"/>
        <w:spacing w:before="2"/>
      </w:pPr>
    </w:p>
    <w:tbl>
      <w:tblPr>
        <w:tblW w:w="140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8"/>
        <w:gridCol w:w="2485"/>
        <w:gridCol w:w="7437"/>
        <w:gridCol w:w="1772"/>
        <w:gridCol w:w="1772"/>
      </w:tblGrid>
      <w:tr w:rsidR="00C66872" w:rsidRPr="00CC235D" w:rsidTr="002B37B2">
        <w:trPr>
          <w:trHeight w:val="1438"/>
        </w:trPr>
        <w:tc>
          <w:tcPr>
            <w:tcW w:w="568" w:type="dxa"/>
            <w:shd w:val="clear" w:color="auto" w:fill="auto"/>
            <w:vAlign w:val="center"/>
          </w:tcPr>
          <w:p w:rsidR="00C66872" w:rsidRPr="00CC235D" w:rsidRDefault="00C66872" w:rsidP="002142F7">
            <w:pPr>
              <w:tabs>
                <w:tab w:val="left" w:pos="3878"/>
              </w:tabs>
              <w:spacing w:before="100"/>
              <w:rPr>
                <w:rFonts w:ascii="Arial" w:eastAsia="Times New Roman" w:hAnsi="Arial" w:cs="Arial"/>
                <w:b/>
                <w:bCs/>
                <w:sz w:val="24"/>
                <w:szCs w:val="24"/>
                <w:lang w:eastAsia="pl-PL"/>
              </w:rPr>
            </w:pPr>
            <w:r w:rsidRPr="00CC235D">
              <w:rPr>
                <w:rFonts w:ascii="Arial" w:eastAsia="Times New Roman" w:hAnsi="Arial" w:cs="Arial"/>
                <w:b/>
                <w:bCs/>
                <w:sz w:val="24"/>
                <w:szCs w:val="24"/>
                <w:lang w:eastAsia="pl-PL"/>
              </w:rPr>
              <w:t>Lp.</w:t>
            </w:r>
          </w:p>
        </w:tc>
        <w:tc>
          <w:tcPr>
            <w:tcW w:w="2485" w:type="dxa"/>
            <w:shd w:val="clear" w:color="auto" w:fill="auto"/>
            <w:vAlign w:val="center"/>
          </w:tcPr>
          <w:p w:rsidR="00C66872" w:rsidRPr="00CC235D" w:rsidRDefault="00C66872" w:rsidP="002142F7">
            <w:pPr>
              <w:tabs>
                <w:tab w:val="left" w:pos="3878"/>
              </w:tabs>
              <w:spacing w:before="100"/>
              <w:rPr>
                <w:rFonts w:ascii="Arial" w:eastAsia="Times New Roman" w:hAnsi="Arial" w:cs="Arial"/>
                <w:b/>
                <w:bCs/>
                <w:sz w:val="24"/>
                <w:szCs w:val="24"/>
                <w:lang w:eastAsia="pl-PL"/>
              </w:rPr>
            </w:pPr>
            <w:r w:rsidRPr="00CC235D">
              <w:rPr>
                <w:rFonts w:ascii="Arial" w:eastAsia="Times New Roman" w:hAnsi="Arial" w:cs="Arial"/>
                <w:b/>
                <w:bCs/>
                <w:sz w:val="24"/>
                <w:szCs w:val="24"/>
                <w:lang w:eastAsia="pl-PL"/>
              </w:rPr>
              <w:t>Nazwa wskaźnika/</w:t>
            </w:r>
            <w:r w:rsidRPr="00CC235D">
              <w:rPr>
                <w:rFonts w:ascii="Arial" w:eastAsia="Times New Roman" w:hAnsi="Arial" w:cs="Arial"/>
                <w:b/>
                <w:bCs/>
                <w:sz w:val="24"/>
                <w:szCs w:val="24"/>
                <w:lang w:eastAsia="pl-PL"/>
              </w:rPr>
              <w:br/>
              <w:t>jednostka miary</w:t>
            </w:r>
          </w:p>
        </w:tc>
        <w:tc>
          <w:tcPr>
            <w:tcW w:w="7437" w:type="dxa"/>
            <w:shd w:val="clear" w:color="auto" w:fill="auto"/>
            <w:vAlign w:val="center"/>
          </w:tcPr>
          <w:p w:rsidR="00C66872" w:rsidRPr="00CC235D" w:rsidRDefault="00C66872" w:rsidP="002142F7">
            <w:pPr>
              <w:tabs>
                <w:tab w:val="left" w:pos="3878"/>
              </w:tabs>
              <w:spacing w:before="100"/>
              <w:rPr>
                <w:rFonts w:ascii="Arial" w:eastAsia="Times New Roman" w:hAnsi="Arial" w:cs="Arial"/>
                <w:b/>
                <w:bCs/>
                <w:sz w:val="24"/>
                <w:szCs w:val="24"/>
                <w:lang w:eastAsia="pl-PL"/>
              </w:rPr>
            </w:pPr>
            <w:r w:rsidRPr="00CC235D">
              <w:rPr>
                <w:rFonts w:ascii="Arial" w:eastAsia="Times New Roman" w:hAnsi="Arial" w:cs="Arial"/>
                <w:b/>
                <w:bCs/>
                <w:sz w:val="24"/>
                <w:szCs w:val="24"/>
                <w:lang w:eastAsia="pl-PL"/>
              </w:rPr>
              <w:t>Definicja</w:t>
            </w:r>
          </w:p>
        </w:tc>
        <w:tc>
          <w:tcPr>
            <w:tcW w:w="1772" w:type="dxa"/>
            <w:shd w:val="clear" w:color="auto" w:fill="auto"/>
            <w:vAlign w:val="center"/>
          </w:tcPr>
          <w:p w:rsidR="00C66872" w:rsidRPr="00CC235D" w:rsidRDefault="00C66872" w:rsidP="002142F7">
            <w:pPr>
              <w:tabs>
                <w:tab w:val="left" w:pos="3878"/>
              </w:tabs>
              <w:spacing w:before="100"/>
              <w:rPr>
                <w:rFonts w:ascii="Arial" w:eastAsia="Times New Roman" w:hAnsi="Arial" w:cs="Arial"/>
                <w:b/>
                <w:bCs/>
                <w:sz w:val="24"/>
                <w:szCs w:val="24"/>
                <w:lang w:eastAsia="pl-PL"/>
              </w:rPr>
            </w:pPr>
            <w:r w:rsidRPr="00CC235D">
              <w:rPr>
                <w:rFonts w:ascii="Arial" w:eastAsia="Times New Roman" w:hAnsi="Arial" w:cs="Arial"/>
                <w:b/>
                <w:bCs/>
                <w:sz w:val="24"/>
                <w:szCs w:val="24"/>
                <w:lang w:eastAsia="pl-PL"/>
              </w:rPr>
              <w:t>Termin pomiaru wskaźnika</w:t>
            </w:r>
          </w:p>
        </w:tc>
        <w:tc>
          <w:tcPr>
            <w:tcW w:w="1772" w:type="dxa"/>
            <w:shd w:val="clear" w:color="auto" w:fill="auto"/>
            <w:vAlign w:val="center"/>
          </w:tcPr>
          <w:p w:rsidR="00C66872" w:rsidRPr="00CC235D" w:rsidRDefault="00C66872" w:rsidP="002142F7">
            <w:pPr>
              <w:tabs>
                <w:tab w:val="left" w:pos="3878"/>
              </w:tabs>
              <w:spacing w:before="100"/>
              <w:rPr>
                <w:rFonts w:ascii="Arial" w:eastAsia="Times New Roman" w:hAnsi="Arial" w:cs="Arial"/>
                <w:b/>
                <w:bCs/>
                <w:sz w:val="24"/>
                <w:szCs w:val="24"/>
                <w:lang w:eastAsia="pl-PL"/>
              </w:rPr>
            </w:pPr>
            <w:r w:rsidRPr="00CC235D">
              <w:rPr>
                <w:rFonts w:ascii="Arial" w:eastAsia="Times New Roman" w:hAnsi="Arial" w:cs="Arial"/>
                <w:b/>
                <w:bCs/>
                <w:sz w:val="24"/>
                <w:szCs w:val="24"/>
                <w:lang w:eastAsia="pl-PL"/>
              </w:rPr>
              <w:t>Sposób i</w:t>
            </w:r>
            <w:r w:rsidR="003533E7">
              <w:rPr>
                <w:rFonts w:ascii="Arial" w:eastAsia="Times New Roman" w:hAnsi="Arial" w:cs="Arial"/>
                <w:b/>
                <w:bCs/>
                <w:sz w:val="24"/>
                <w:szCs w:val="24"/>
                <w:lang w:eastAsia="pl-PL"/>
              </w:rPr>
              <w:t xml:space="preserve"> przykładowe</w:t>
            </w:r>
            <w:r w:rsidRPr="00CC235D">
              <w:rPr>
                <w:rFonts w:ascii="Arial" w:eastAsia="Times New Roman" w:hAnsi="Arial" w:cs="Arial"/>
                <w:b/>
                <w:bCs/>
                <w:sz w:val="24"/>
                <w:szCs w:val="24"/>
                <w:lang w:eastAsia="pl-PL"/>
              </w:rPr>
              <w:t xml:space="preserve"> źródła  pomiaru wskaźnika</w:t>
            </w:r>
          </w:p>
        </w:tc>
      </w:tr>
      <w:tr w:rsidR="00C66872" w:rsidRPr="00CC235D" w:rsidTr="002B37B2">
        <w:trPr>
          <w:trHeight w:val="829"/>
        </w:trPr>
        <w:tc>
          <w:tcPr>
            <w:tcW w:w="568" w:type="dxa"/>
            <w:shd w:val="clear" w:color="auto" w:fill="auto"/>
            <w:vAlign w:val="center"/>
          </w:tcPr>
          <w:p w:rsidR="00C66872" w:rsidRPr="00CC235D" w:rsidRDefault="00C66872"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1</w:t>
            </w:r>
          </w:p>
        </w:tc>
        <w:tc>
          <w:tcPr>
            <w:tcW w:w="2485" w:type="dxa"/>
            <w:shd w:val="clear" w:color="auto" w:fill="auto"/>
            <w:vAlign w:val="center"/>
          </w:tcPr>
          <w:p w:rsidR="00C66872" w:rsidRPr="00CC235D" w:rsidRDefault="00572AC4"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PLDCO01 Liczba mikro-, małych i średnich przedsiębiorstw (w tym spółdzielni i przedsiębiorstw społecznych) objętych usługami rozwojowymi (przedsiębiorstwa)</w:t>
            </w:r>
          </w:p>
        </w:tc>
        <w:tc>
          <w:tcPr>
            <w:tcW w:w="7437" w:type="dxa"/>
            <w:shd w:val="clear" w:color="auto" w:fill="auto"/>
            <w:vAlign w:val="center"/>
          </w:tcPr>
          <w:p w:rsidR="00572AC4" w:rsidRPr="00CC235D" w:rsidRDefault="00572AC4" w:rsidP="00572AC4">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Za przedsiębiorstwo uważa się podmiot prowadzący działalność gospodarczą bez względu na jego formę prawną, w tym spółdzielnie i przedsiębiorstwa społeczne.</w:t>
            </w:r>
          </w:p>
          <w:p w:rsidR="00572AC4" w:rsidRPr="00CC235D" w:rsidRDefault="00572AC4" w:rsidP="00572AC4">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Na kategorię mikroprzedsiębiorstw oraz małych i średnich przedsiębiorstw (MMŚP) składają się przedsiębiorstwa, które zatrudniają mniej niż 250 pracowników, których roczny obrót nie przekracza 50 milionów EUR lub roczna suma bilansowa nie przekracza 43 milionów EUR.</w:t>
            </w:r>
          </w:p>
          <w:p w:rsidR="00572AC4" w:rsidRPr="00CC235D" w:rsidRDefault="00572AC4" w:rsidP="00572AC4">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Definicje na podstawie: Zalecenie Komisji z dnia 6 maja 2003 r. dotyczące definicji mikroprzedsiębiorstw oraz małych i średnich przedsiębiorstw (2003/361/WE).</w:t>
            </w:r>
          </w:p>
          <w:p w:rsidR="00572AC4" w:rsidRPr="00CC235D" w:rsidRDefault="00572AC4" w:rsidP="00572AC4">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Dodatkowe informacje:</w:t>
            </w:r>
          </w:p>
          <w:p w:rsidR="00225268" w:rsidRPr="00CC235D" w:rsidRDefault="00225268" w:rsidP="00225268">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 xml:space="preserve">Wskaźnik mierzy liczbę mikroprzedsiębiorstw oraz małych i średnich przedsiębiorstw, którym zostało udzielone wsparcie na dofinansowanie usług rozwojowych w ramach EFS+. </w:t>
            </w:r>
          </w:p>
          <w:p w:rsidR="00225268" w:rsidRPr="00CC235D" w:rsidRDefault="00225268" w:rsidP="00225268">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 xml:space="preserve">Usługa rozwojowa – usługa mająca na celu nabycie, potwierdzenie lub wzrost wiedzy, umiejętności lub kompetencji społecznych przedsiębiorców lub ich pracowników, w tym przygotowująca do </w:t>
            </w:r>
            <w:r w:rsidRPr="00CC235D">
              <w:rPr>
                <w:rFonts w:ascii="Arial" w:eastAsia="Times New Roman" w:hAnsi="Arial" w:cs="Arial"/>
                <w:bCs/>
                <w:sz w:val="24"/>
                <w:szCs w:val="24"/>
                <w:lang w:eastAsia="pl-PL"/>
              </w:rPr>
              <w:lastRenderedPageBreak/>
              <w:t>uzyskania kwalifikacji, lub pozwalająca na ich rozwój.</w:t>
            </w:r>
          </w:p>
          <w:p w:rsidR="00572AC4" w:rsidRPr="00CC235D" w:rsidRDefault="00572AC4" w:rsidP="00572AC4">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W kategorii mikroprzedsiębiorstwa należy uwzględnić również osoby prowadzące działalność na własny rachunek.</w:t>
            </w:r>
          </w:p>
          <w:p w:rsidR="00572AC4" w:rsidRPr="00CC235D" w:rsidRDefault="00572AC4" w:rsidP="00572AC4">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Tylko MMŚP, które korzystają bezpośrednio ze wsparcia powinny być uwzględniane do wskaźnika, tj. w przypadku, kiedy wsparcie jest kierowane do konkretnego przedsiębiorstwa. Jeżeli na przykład pracownik z MMŚP z własnej inicjatywy uczestniczy w szkoleniu, nie należy tego uwzględniać we wskaźniku dotyczącym MMŚP, ponieważ jest to tylko wsparcie pośrednie dla przedsiębiorstwa. MMŚP będące jedynie beneficjentami projektu także nie są odnotowywane w tym wskaźniku.</w:t>
            </w:r>
          </w:p>
          <w:p w:rsidR="00572AC4" w:rsidRPr="00CC235D" w:rsidRDefault="00572AC4" w:rsidP="00572AC4">
            <w:pPr>
              <w:tabs>
                <w:tab w:val="left" w:pos="3878"/>
              </w:tabs>
              <w:spacing w:before="100"/>
              <w:rPr>
                <w:rFonts w:ascii="Arial" w:eastAsia="Times New Roman" w:hAnsi="Arial" w:cs="Arial"/>
                <w:bCs/>
                <w:sz w:val="24"/>
                <w:szCs w:val="24"/>
                <w:lang w:eastAsia="pl-PL"/>
              </w:rPr>
            </w:pPr>
          </w:p>
        </w:tc>
        <w:tc>
          <w:tcPr>
            <w:tcW w:w="1772" w:type="dxa"/>
            <w:shd w:val="clear" w:color="auto" w:fill="auto"/>
            <w:vAlign w:val="center"/>
          </w:tcPr>
          <w:p w:rsidR="00572AC4" w:rsidRPr="00CC235D" w:rsidRDefault="00572AC4" w:rsidP="00572AC4">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lastRenderedPageBreak/>
              <w:t xml:space="preserve">Podmiot jest wliczany do wskaźnika w momencie </w:t>
            </w:r>
            <w:r w:rsidR="007C5CAA" w:rsidRPr="00CC235D">
              <w:rPr>
                <w:rFonts w:ascii="Arial" w:eastAsia="Times New Roman" w:hAnsi="Arial" w:cs="Arial"/>
                <w:bCs/>
                <w:sz w:val="24"/>
                <w:szCs w:val="24"/>
                <w:lang w:eastAsia="pl-PL"/>
              </w:rPr>
              <w:t>rozpoczęcia udziału w projekcie, czyli rozpoczęcia udziału podmiotu w pierwszej usłudze rozwojowej.</w:t>
            </w:r>
          </w:p>
          <w:p w:rsidR="00C66872" w:rsidRPr="00CC235D" w:rsidRDefault="00C66872" w:rsidP="002142F7">
            <w:pPr>
              <w:tabs>
                <w:tab w:val="left" w:pos="3878"/>
              </w:tabs>
              <w:spacing w:before="100"/>
              <w:rPr>
                <w:rFonts w:ascii="Arial" w:eastAsia="Times New Roman" w:hAnsi="Arial" w:cs="Arial"/>
                <w:bCs/>
                <w:sz w:val="24"/>
                <w:szCs w:val="24"/>
                <w:lang w:eastAsia="pl-PL"/>
              </w:rPr>
            </w:pPr>
          </w:p>
        </w:tc>
        <w:tc>
          <w:tcPr>
            <w:tcW w:w="1772" w:type="dxa"/>
            <w:shd w:val="clear" w:color="auto" w:fill="auto"/>
            <w:vAlign w:val="center"/>
          </w:tcPr>
          <w:p w:rsidR="00C66872" w:rsidRPr="00CC235D" w:rsidRDefault="007C5CAA" w:rsidP="00B37294">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umow</w:t>
            </w:r>
            <w:r w:rsidR="00B37294" w:rsidRPr="00CC235D">
              <w:rPr>
                <w:rFonts w:ascii="Arial" w:eastAsia="Times New Roman" w:hAnsi="Arial" w:cs="Arial"/>
                <w:bCs/>
                <w:sz w:val="24"/>
                <w:szCs w:val="24"/>
                <w:lang w:eastAsia="pl-PL"/>
              </w:rPr>
              <w:t>a</w:t>
            </w:r>
            <w:r w:rsidRPr="00CC235D">
              <w:rPr>
                <w:rFonts w:ascii="Arial" w:eastAsia="Times New Roman" w:hAnsi="Arial" w:cs="Arial"/>
                <w:bCs/>
                <w:sz w:val="24"/>
                <w:szCs w:val="24"/>
                <w:lang w:eastAsia="pl-PL"/>
              </w:rPr>
              <w:t xml:space="preserve"> </w:t>
            </w:r>
            <w:r w:rsidR="00B37294" w:rsidRPr="00CC235D">
              <w:rPr>
                <w:rFonts w:ascii="Arial" w:eastAsia="Times New Roman" w:hAnsi="Arial" w:cs="Arial"/>
                <w:bCs/>
                <w:sz w:val="24"/>
                <w:szCs w:val="24"/>
                <w:lang w:eastAsia="pl-PL"/>
              </w:rPr>
              <w:t>wsparcia</w:t>
            </w:r>
            <w:r w:rsidR="00B37294" w:rsidRPr="00CC235D">
              <w:rPr>
                <w:rFonts w:ascii="Arial" w:hAnsi="Arial" w:cs="Arial"/>
                <w:sz w:val="24"/>
                <w:szCs w:val="24"/>
              </w:rPr>
              <w:t xml:space="preserve"> w ramach PSF WŁ</w:t>
            </w:r>
            <w:r w:rsidRPr="00CC235D">
              <w:rPr>
                <w:rFonts w:ascii="Arial" w:eastAsia="Times New Roman" w:hAnsi="Arial" w:cs="Arial"/>
                <w:bCs/>
                <w:sz w:val="24"/>
                <w:szCs w:val="24"/>
                <w:lang w:eastAsia="pl-PL"/>
              </w:rPr>
              <w:t xml:space="preserve">, zestawienie </w:t>
            </w:r>
            <w:r w:rsidRPr="00CC235D">
              <w:rPr>
                <w:rFonts w:ascii="Arial" w:eastAsia="Times New Roman" w:hAnsi="Arial" w:cs="Arial"/>
                <w:bCs/>
                <w:sz w:val="24"/>
                <w:szCs w:val="24"/>
                <w:lang w:eastAsia="pl-PL"/>
              </w:rPr>
              <w:br/>
              <w:t xml:space="preserve">wydanych </w:t>
            </w:r>
            <w:r w:rsidRPr="00CC235D">
              <w:rPr>
                <w:rFonts w:ascii="Arial" w:eastAsia="Times New Roman" w:hAnsi="Arial" w:cs="Arial"/>
                <w:bCs/>
                <w:sz w:val="24"/>
                <w:szCs w:val="24"/>
                <w:lang w:eastAsia="pl-PL"/>
              </w:rPr>
              <w:br/>
              <w:t>bonów/wydane bony</w:t>
            </w:r>
          </w:p>
        </w:tc>
      </w:tr>
      <w:tr w:rsidR="004C2E98" w:rsidRPr="00CC235D" w:rsidTr="002B37B2">
        <w:trPr>
          <w:trHeight w:val="829"/>
        </w:trPr>
        <w:tc>
          <w:tcPr>
            <w:tcW w:w="568" w:type="dxa"/>
            <w:shd w:val="clear" w:color="auto" w:fill="auto"/>
            <w:vAlign w:val="center"/>
          </w:tcPr>
          <w:p w:rsidR="004C2E98" w:rsidRPr="00CC235D" w:rsidRDefault="004C2E98" w:rsidP="004C2E98">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2</w:t>
            </w:r>
          </w:p>
        </w:tc>
        <w:tc>
          <w:tcPr>
            <w:tcW w:w="2485" w:type="dxa"/>
            <w:shd w:val="clear" w:color="auto" w:fill="auto"/>
            <w:vAlign w:val="center"/>
          </w:tcPr>
          <w:p w:rsidR="004C2E98" w:rsidRPr="00CC235D" w:rsidRDefault="004C2E98" w:rsidP="004C2E98">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PLDCO02 Liczba dużych przedsiębiorstw objętych usługami rozwojowymi (przedsiębiorstwa)</w:t>
            </w:r>
          </w:p>
        </w:tc>
        <w:tc>
          <w:tcPr>
            <w:tcW w:w="7437" w:type="dxa"/>
            <w:shd w:val="clear" w:color="auto" w:fill="auto"/>
            <w:vAlign w:val="center"/>
          </w:tcPr>
          <w:p w:rsidR="004C2E98" w:rsidRPr="00CC235D" w:rsidRDefault="004C2E98" w:rsidP="004C2E98">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Wskaźnik mierzy liczbę dużych przedsiębiorstw, którym zostało udzielone wsparcie na dofinansowanie usług rozwojowych w ramach EFS+.</w:t>
            </w:r>
          </w:p>
          <w:p w:rsidR="004C2E98" w:rsidRPr="00CC235D" w:rsidRDefault="004C2E98" w:rsidP="004C2E98">
            <w:pPr>
              <w:tabs>
                <w:tab w:val="left" w:pos="3878"/>
              </w:tabs>
              <w:spacing w:before="100"/>
              <w:rPr>
                <w:rFonts w:ascii="Arial" w:eastAsia="Times New Roman" w:hAnsi="Arial" w:cs="Arial"/>
                <w:bCs/>
                <w:iCs/>
                <w:sz w:val="24"/>
                <w:szCs w:val="24"/>
                <w:lang w:eastAsia="pl-PL"/>
              </w:rPr>
            </w:pPr>
            <w:r w:rsidRPr="00CC235D">
              <w:rPr>
                <w:rFonts w:ascii="Arial" w:eastAsia="Times New Roman" w:hAnsi="Arial" w:cs="Arial"/>
                <w:bCs/>
                <w:iCs/>
                <w:sz w:val="24"/>
                <w:szCs w:val="24"/>
                <w:lang w:eastAsia="pl-PL"/>
              </w:rPr>
              <w:t>Definicja dużego przedsiębiorstwa, zgodna z art. 2 pkt 24 Rozporządzenia Komisji (UE) nr 651/2014 z 17.06.2014 uznającego niektóre rodzaje pomocy za zgodne z rynkiem wewnętrznym w zastosowaniu art. 107 i 108 Traktatu.</w:t>
            </w:r>
          </w:p>
          <w:p w:rsidR="004C2E98" w:rsidRPr="00CC235D" w:rsidRDefault="004C2E98" w:rsidP="004C2E98">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Tylko przedsiębiorstwa, które korzystają bezpośrednio ze wsparcia powinny być uwzględniane we wskaźniku, tj. w przypadku, kiedy wsparcie jest kierowane do konkretnego przedsiębiorstwa. Jeżeli na przykład pracownik z danego przedsiębiorstwa z własnej inicjatywy uczestniczy w szkoleniu, nie należy tego uwzględniać w tym wskaźniku, ponieważ jest to tylko wsparcie pośrednie dla przedsiębiorstwa. Przedsiębiorstwa będące jedynie beneficjentami projektu także nie są odnotowywane w tym wskaźniku.</w:t>
            </w:r>
          </w:p>
          <w:p w:rsidR="004C2E98" w:rsidRPr="00CC235D" w:rsidRDefault="004C2E98" w:rsidP="004C2E98">
            <w:pPr>
              <w:tabs>
                <w:tab w:val="left" w:pos="3878"/>
              </w:tabs>
              <w:spacing w:before="100"/>
              <w:rPr>
                <w:rFonts w:ascii="Arial" w:eastAsia="Times New Roman" w:hAnsi="Arial" w:cs="Arial"/>
                <w:bCs/>
                <w:sz w:val="24"/>
                <w:szCs w:val="24"/>
                <w:lang w:eastAsia="pl-PL"/>
              </w:rPr>
            </w:pPr>
          </w:p>
        </w:tc>
        <w:tc>
          <w:tcPr>
            <w:tcW w:w="1772" w:type="dxa"/>
            <w:shd w:val="clear" w:color="auto" w:fill="auto"/>
            <w:vAlign w:val="center"/>
          </w:tcPr>
          <w:p w:rsidR="004C2E98" w:rsidRPr="00CC235D" w:rsidRDefault="004C2E98" w:rsidP="004C2E98">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Podmiot jest wliczany do wskaźnika w momencie rozpoczęcia udziału w projekcie, czyli rozpoczęcia udziału podmiotu w pierwszej usłudze rozwojowej.</w:t>
            </w:r>
          </w:p>
          <w:p w:rsidR="004C2E98" w:rsidRPr="00CC235D" w:rsidRDefault="004C2E98" w:rsidP="004C2E98">
            <w:pPr>
              <w:tabs>
                <w:tab w:val="left" w:pos="3878"/>
              </w:tabs>
              <w:spacing w:before="100"/>
              <w:rPr>
                <w:rFonts w:ascii="Arial" w:eastAsia="Times New Roman" w:hAnsi="Arial" w:cs="Arial"/>
                <w:bCs/>
                <w:sz w:val="24"/>
                <w:szCs w:val="24"/>
                <w:lang w:eastAsia="pl-PL"/>
              </w:rPr>
            </w:pPr>
          </w:p>
        </w:tc>
        <w:tc>
          <w:tcPr>
            <w:tcW w:w="1772" w:type="dxa"/>
            <w:shd w:val="clear" w:color="auto" w:fill="auto"/>
            <w:vAlign w:val="center"/>
          </w:tcPr>
          <w:p w:rsidR="004C2E98" w:rsidRPr="00CC235D" w:rsidRDefault="00B37294" w:rsidP="004C2E98">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umowa wsparcia</w:t>
            </w:r>
            <w:r w:rsidRPr="00CC235D">
              <w:rPr>
                <w:rFonts w:ascii="Arial" w:hAnsi="Arial" w:cs="Arial"/>
                <w:sz w:val="24"/>
                <w:szCs w:val="24"/>
              </w:rPr>
              <w:t xml:space="preserve"> w ramach PSF WŁ</w:t>
            </w:r>
            <w:r w:rsidRPr="00CC235D">
              <w:rPr>
                <w:rFonts w:ascii="Arial" w:eastAsia="Times New Roman" w:hAnsi="Arial" w:cs="Arial"/>
                <w:bCs/>
                <w:sz w:val="24"/>
                <w:szCs w:val="24"/>
                <w:lang w:eastAsia="pl-PL"/>
              </w:rPr>
              <w:t xml:space="preserve">, zestawienie </w:t>
            </w:r>
            <w:r w:rsidRPr="00CC235D">
              <w:rPr>
                <w:rFonts w:ascii="Arial" w:eastAsia="Times New Roman" w:hAnsi="Arial" w:cs="Arial"/>
                <w:bCs/>
                <w:sz w:val="24"/>
                <w:szCs w:val="24"/>
                <w:lang w:eastAsia="pl-PL"/>
              </w:rPr>
              <w:br/>
              <w:t xml:space="preserve">wydanych </w:t>
            </w:r>
            <w:r w:rsidRPr="00CC235D">
              <w:rPr>
                <w:rFonts w:ascii="Arial" w:eastAsia="Times New Roman" w:hAnsi="Arial" w:cs="Arial"/>
                <w:bCs/>
                <w:sz w:val="24"/>
                <w:szCs w:val="24"/>
                <w:lang w:eastAsia="pl-PL"/>
              </w:rPr>
              <w:br/>
              <w:t>bonów/wydane bony</w:t>
            </w:r>
          </w:p>
        </w:tc>
      </w:tr>
      <w:tr w:rsidR="00C66872" w:rsidRPr="00CC235D" w:rsidTr="002B37B2">
        <w:trPr>
          <w:trHeight w:val="829"/>
        </w:trPr>
        <w:tc>
          <w:tcPr>
            <w:tcW w:w="568" w:type="dxa"/>
            <w:shd w:val="clear" w:color="auto" w:fill="auto"/>
            <w:vAlign w:val="center"/>
          </w:tcPr>
          <w:p w:rsidR="00C66872" w:rsidRPr="00CC235D" w:rsidRDefault="00C66872"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lastRenderedPageBreak/>
              <w:t>3</w:t>
            </w:r>
          </w:p>
        </w:tc>
        <w:tc>
          <w:tcPr>
            <w:tcW w:w="2485" w:type="dxa"/>
            <w:shd w:val="clear" w:color="auto" w:fill="auto"/>
            <w:vAlign w:val="center"/>
          </w:tcPr>
          <w:p w:rsidR="00C66872" w:rsidRPr="00CC235D" w:rsidRDefault="004C2E98"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PLDCO03 Liczba podmiotów innych niż przedsiębiorstwa objętych usługami rozwojowymi (podmioty)</w:t>
            </w:r>
          </w:p>
        </w:tc>
        <w:tc>
          <w:tcPr>
            <w:tcW w:w="7437" w:type="dxa"/>
            <w:shd w:val="clear" w:color="auto" w:fill="auto"/>
            <w:vAlign w:val="center"/>
          </w:tcPr>
          <w:p w:rsidR="004C2E98" w:rsidRPr="00CC235D" w:rsidRDefault="004C2E98" w:rsidP="004C2E98">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Wskaźnik mierzy liczbę podmiotów innych niż przedsiębiorstwa, którym zostało udzielone wsparcie na dofinansowanie usług rozwojowych w ramach EFS +.</w:t>
            </w:r>
          </w:p>
          <w:p w:rsidR="00C66872" w:rsidRPr="00CC235D" w:rsidRDefault="00C66872" w:rsidP="002142F7">
            <w:pPr>
              <w:tabs>
                <w:tab w:val="left" w:pos="3878"/>
              </w:tabs>
              <w:spacing w:before="100"/>
              <w:rPr>
                <w:rFonts w:ascii="Arial" w:eastAsia="Times New Roman" w:hAnsi="Arial" w:cs="Arial"/>
                <w:bCs/>
                <w:sz w:val="24"/>
                <w:szCs w:val="24"/>
                <w:lang w:eastAsia="pl-PL"/>
              </w:rPr>
            </w:pPr>
          </w:p>
        </w:tc>
        <w:tc>
          <w:tcPr>
            <w:tcW w:w="1772" w:type="dxa"/>
            <w:shd w:val="clear" w:color="auto" w:fill="auto"/>
            <w:vAlign w:val="center"/>
          </w:tcPr>
          <w:p w:rsidR="004C2E98" w:rsidRPr="00CC235D" w:rsidRDefault="004C2E98" w:rsidP="004C2E98">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Podmiot jest wliczany do wskaźnika w momencie rozpoczęcia udziału w projekcie, czyli rozpoczęcia udziału podmiotu w pierwszej usłudze rozwojowej.</w:t>
            </w:r>
          </w:p>
          <w:p w:rsidR="00C66872" w:rsidRPr="00CC235D" w:rsidRDefault="00C66872" w:rsidP="002142F7">
            <w:pPr>
              <w:tabs>
                <w:tab w:val="left" w:pos="3878"/>
              </w:tabs>
              <w:spacing w:before="100"/>
              <w:rPr>
                <w:rFonts w:ascii="Arial" w:eastAsia="Times New Roman" w:hAnsi="Arial" w:cs="Arial"/>
                <w:bCs/>
                <w:sz w:val="24"/>
                <w:szCs w:val="24"/>
                <w:lang w:eastAsia="pl-PL"/>
              </w:rPr>
            </w:pPr>
          </w:p>
        </w:tc>
        <w:tc>
          <w:tcPr>
            <w:tcW w:w="1772" w:type="dxa"/>
            <w:shd w:val="clear" w:color="auto" w:fill="auto"/>
            <w:vAlign w:val="center"/>
          </w:tcPr>
          <w:p w:rsidR="00C66872" w:rsidRPr="00CC235D" w:rsidRDefault="009F2480"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umowa wsparcia</w:t>
            </w:r>
            <w:r w:rsidRPr="00CC235D">
              <w:rPr>
                <w:rFonts w:ascii="Arial" w:hAnsi="Arial" w:cs="Arial"/>
                <w:sz w:val="24"/>
                <w:szCs w:val="24"/>
              </w:rPr>
              <w:t xml:space="preserve"> w ramach PSF WŁ</w:t>
            </w:r>
            <w:r w:rsidRPr="00CC235D">
              <w:rPr>
                <w:rFonts w:ascii="Arial" w:eastAsia="Times New Roman" w:hAnsi="Arial" w:cs="Arial"/>
                <w:bCs/>
                <w:sz w:val="24"/>
                <w:szCs w:val="24"/>
                <w:lang w:eastAsia="pl-PL"/>
              </w:rPr>
              <w:t xml:space="preserve">, zestawienie </w:t>
            </w:r>
            <w:r w:rsidRPr="00CC235D">
              <w:rPr>
                <w:rFonts w:ascii="Arial" w:eastAsia="Times New Roman" w:hAnsi="Arial" w:cs="Arial"/>
                <w:bCs/>
                <w:sz w:val="24"/>
                <w:szCs w:val="24"/>
                <w:lang w:eastAsia="pl-PL"/>
              </w:rPr>
              <w:br/>
              <w:t xml:space="preserve">wydanych </w:t>
            </w:r>
            <w:r w:rsidRPr="00CC235D">
              <w:rPr>
                <w:rFonts w:ascii="Arial" w:eastAsia="Times New Roman" w:hAnsi="Arial" w:cs="Arial"/>
                <w:bCs/>
                <w:sz w:val="24"/>
                <w:szCs w:val="24"/>
                <w:lang w:eastAsia="pl-PL"/>
              </w:rPr>
              <w:br/>
              <w:t>bonów/wydane bony</w:t>
            </w:r>
          </w:p>
        </w:tc>
      </w:tr>
      <w:tr w:rsidR="00C66872" w:rsidRPr="00CC235D" w:rsidTr="002B37B2">
        <w:trPr>
          <w:trHeight w:val="829"/>
        </w:trPr>
        <w:tc>
          <w:tcPr>
            <w:tcW w:w="568" w:type="dxa"/>
            <w:shd w:val="clear" w:color="auto" w:fill="auto"/>
            <w:vAlign w:val="center"/>
          </w:tcPr>
          <w:p w:rsidR="00C66872" w:rsidRPr="00CC235D" w:rsidRDefault="00C66872"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4</w:t>
            </w:r>
          </w:p>
        </w:tc>
        <w:tc>
          <w:tcPr>
            <w:tcW w:w="2485" w:type="dxa"/>
            <w:shd w:val="clear" w:color="auto" w:fill="auto"/>
            <w:vAlign w:val="center"/>
          </w:tcPr>
          <w:p w:rsidR="004C2E98" w:rsidRPr="00CC235D" w:rsidRDefault="004C2E98" w:rsidP="004C2E98">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PLDCO04 Liczba pracowników mikro-, małych i średnich przedsiębiorstw (w tym spółdzielni i przedsiębiorstw społecznych) objętych usługą rozwojową (osoby)</w:t>
            </w:r>
          </w:p>
          <w:p w:rsidR="00C66872" w:rsidRPr="00CC235D" w:rsidRDefault="00C66872" w:rsidP="002142F7">
            <w:pPr>
              <w:tabs>
                <w:tab w:val="left" w:pos="3878"/>
              </w:tabs>
              <w:spacing w:before="100"/>
              <w:rPr>
                <w:rFonts w:ascii="Arial" w:eastAsia="Times New Roman" w:hAnsi="Arial" w:cs="Arial"/>
                <w:bCs/>
                <w:sz w:val="24"/>
                <w:szCs w:val="24"/>
                <w:lang w:eastAsia="pl-PL"/>
              </w:rPr>
            </w:pPr>
          </w:p>
        </w:tc>
        <w:tc>
          <w:tcPr>
            <w:tcW w:w="7437" w:type="dxa"/>
            <w:shd w:val="clear" w:color="auto" w:fill="auto"/>
            <w:vAlign w:val="center"/>
          </w:tcPr>
          <w:p w:rsidR="004C2E98" w:rsidRPr="00CC235D" w:rsidRDefault="004C2E98" w:rsidP="004C2E98">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Wskaźnik mierzy liczbę pracowników MMŚP, którzy otrzymali wsparcie w postaci usługi rozwojowej w ramach EFS+.</w:t>
            </w:r>
          </w:p>
          <w:p w:rsidR="00A260F0" w:rsidRPr="00CC235D" w:rsidRDefault="00A260F0" w:rsidP="00A260F0">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Pracownicy to osoby w wieku od 15 do 89 lat, które: wykonują pracę, za którą otrzymują wynagrodzenie, z której czerpią zyski lub korzyści rodzinne; osoby posiadające zatrudnienie lub własną działalność, które jednak chwilowo nie pracują (ze względu na np. chorobę, urlop, spór pracowniczy czy kształcenie się lub szkolenie); lub osoby produkujące towary rolne, których główna część przeznaczona jest na sprzedaż lub barter.</w:t>
            </w:r>
          </w:p>
          <w:p w:rsidR="00A260F0" w:rsidRPr="00CC235D" w:rsidRDefault="00A260F0" w:rsidP="00A260F0">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Za osoby pracujące uznawane są również:</w:t>
            </w:r>
          </w:p>
          <w:p w:rsidR="00A260F0" w:rsidRPr="00CC235D" w:rsidRDefault="00A838C4" w:rsidP="00A260F0">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w:t>
            </w:r>
            <w:r w:rsidR="00A260F0" w:rsidRPr="00CC235D">
              <w:rPr>
                <w:rFonts w:ascii="Arial" w:eastAsia="Times New Roman" w:hAnsi="Arial" w:cs="Arial"/>
                <w:bCs/>
                <w:sz w:val="24"/>
                <w:szCs w:val="24"/>
                <w:lang w:eastAsia="pl-PL"/>
              </w:rPr>
              <w:t>osoby prowadzące działalność na własny rachunek, czyli prowadzące działalność gospodarczą lub działalność nierejestrową (definiowana zgodnie z art. 5 Ustawy z dnia 6 marca 2018 r. Prawo przedsiębiorców), gospodarstwo rolne lub praktykę zawodową, o ile spełniony jest jeden z poniższych warunków:</w:t>
            </w:r>
          </w:p>
          <w:p w:rsidR="00A260F0" w:rsidRPr="00CC235D" w:rsidRDefault="00A260F0" w:rsidP="00A260F0">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 xml:space="preserve">1)Osoba pracuje w swojej działalności, praktyce zawodowej lub </w:t>
            </w:r>
            <w:r w:rsidRPr="00CC235D">
              <w:rPr>
                <w:rFonts w:ascii="Arial" w:eastAsia="Times New Roman" w:hAnsi="Arial" w:cs="Arial"/>
                <w:bCs/>
                <w:sz w:val="24"/>
                <w:szCs w:val="24"/>
                <w:lang w:eastAsia="pl-PL"/>
              </w:rPr>
              <w:lastRenderedPageBreak/>
              <w:t>gospodarstwie rolnym w celu uzyskania dochodu, nawet jeżeli przedsiębiorstwo nie osiąga zysków.</w:t>
            </w:r>
          </w:p>
          <w:p w:rsidR="00A260F0" w:rsidRPr="00CC235D" w:rsidRDefault="00A260F0" w:rsidP="00A260F0">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2)Osoba poświęca czas na prowadzenie działalności gospodarczej, działalności nierejestrowej,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łódź czy siatki rybackie, aby móc dalej pracować; osoby uczestniczące w konferencjach, konwencjach lub seminariach).</w:t>
            </w:r>
          </w:p>
          <w:p w:rsidR="00A260F0" w:rsidRPr="00CC235D" w:rsidRDefault="00A260F0" w:rsidP="00A260F0">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3)Osoba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rsidR="00A260F0" w:rsidRPr="00CC235D" w:rsidRDefault="00A838C4" w:rsidP="00A260F0">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w:t>
            </w:r>
            <w:r w:rsidR="00A260F0" w:rsidRPr="00CC235D">
              <w:rPr>
                <w:rFonts w:ascii="Arial" w:eastAsia="Times New Roman" w:hAnsi="Arial" w:cs="Arial"/>
                <w:bCs/>
                <w:sz w:val="24"/>
                <w:szCs w:val="24"/>
                <w:lang w:eastAsia="pl-PL"/>
              </w:rPr>
              <w:t>bezpłatnie pomagający osobie prowadzącej działalność członek rodziny uznawany jest za „osobę prowadzącą działalność na własny rachunek”.</w:t>
            </w:r>
          </w:p>
          <w:p w:rsidR="00A260F0" w:rsidRPr="00CC235D" w:rsidRDefault="00A838C4" w:rsidP="00A260F0">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w:t>
            </w:r>
            <w:r w:rsidR="00A260F0" w:rsidRPr="00CC235D">
              <w:rPr>
                <w:rFonts w:ascii="Arial" w:eastAsia="Times New Roman" w:hAnsi="Arial" w:cs="Arial"/>
                <w:bCs/>
                <w:sz w:val="24"/>
                <w:szCs w:val="24"/>
                <w:lang w:eastAsia="pl-PL"/>
              </w:rPr>
              <w:t xml:space="preserve">osoby przebywające na urlopie macierzyńskim/ rodzicielskim/ wychowawczym (którego warunki są uregulowane w Kodeksie Pracy), chyba że są zarejestrowane już jako bezrobotne (wówczas status </w:t>
            </w:r>
            <w:r w:rsidRPr="00CC235D">
              <w:rPr>
                <w:rFonts w:ascii="Arial" w:eastAsia="Times New Roman" w:hAnsi="Arial" w:cs="Arial"/>
                <w:bCs/>
                <w:sz w:val="24"/>
                <w:szCs w:val="24"/>
                <w:lang w:eastAsia="pl-PL"/>
              </w:rPr>
              <w:t xml:space="preserve">bezrobotnego ma pierwszeństwo), </w:t>
            </w:r>
            <w:r w:rsidR="00A260F0" w:rsidRPr="00CC235D">
              <w:rPr>
                <w:rFonts w:ascii="Arial" w:eastAsia="Times New Roman" w:hAnsi="Arial" w:cs="Arial"/>
                <w:bCs/>
                <w:sz w:val="24"/>
                <w:szCs w:val="24"/>
                <w:lang w:eastAsia="pl-PL"/>
              </w:rPr>
              <w:t>studenci, którzy są zatrudnieni lub prowadzą działalność gospodarczą</w:t>
            </w:r>
          </w:p>
          <w:p w:rsidR="00A260F0" w:rsidRPr="00CC235D" w:rsidRDefault="00A838C4" w:rsidP="00A260F0">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w:t>
            </w:r>
            <w:r w:rsidR="00A260F0" w:rsidRPr="00CC235D">
              <w:rPr>
                <w:rFonts w:ascii="Arial" w:eastAsia="Times New Roman" w:hAnsi="Arial" w:cs="Arial"/>
                <w:bCs/>
                <w:sz w:val="24"/>
                <w:szCs w:val="24"/>
                <w:lang w:eastAsia="pl-PL"/>
              </w:rPr>
              <w:t>osoby skierowane do odbycia zatrudnienia subsydiowanego.</w:t>
            </w:r>
          </w:p>
          <w:p w:rsidR="00A260F0" w:rsidRPr="00CC235D" w:rsidRDefault="00A260F0" w:rsidP="00A260F0">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Definicja opracowana na podstawie: Eurostat, badanie aktywności ekonomicznej ludności (BAEL).</w:t>
            </w:r>
          </w:p>
          <w:p w:rsidR="00A260F0" w:rsidRPr="00CC235D" w:rsidRDefault="00A260F0" w:rsidP="004C2E98">
            <w:pPr>
              <w:tabs>
                <w:tab w:val="left" w:pos="3878"/>
              </w:tabs>
              <w:spacing w:before="100"/>
              <w:rPr>
                <w:rFonts w:ascii="Arial" w:eastAsia="Times New Roman" w:hAnsi="Arial" w:cs="Arial"/>
                <w:bCs/>
                <w:i/>
                <w:sz w:val="24"/>
                <w:szCs w:val="24"/>
                <w:lang w:eastAsia="pl-PL"/>
              </w:rPr>
            </w:pPr>
          </w:p>
          <w:p w:rsidR="004C2E98" w:rsidRPr="00CC235D" w:rsidRDefault="004C2E98" w:rsidP="004C2E98">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z ograniczeniem do zatrudnienia w mikro-, małych i średnich przedsiębiorstwach.</w:t>
            </w:r>
          </w:p>
          <w:p w:rsidR="00A838C4" w:rsidRPr="00CC235D" w:rsidRDefault="00A838C4" w:rsidP="00A838C4">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Status na rynku pracy jest określany w dniu rozpoczęcia uczestnictwa w projekcie, tj. w momencie rozpoczęcia udziału w pierwszej formie wsparcia w projekcie.</w:t>
            </w:r>
          </w:p>
          <w:p w:rsidR="00C66872" w:rsidRPr="00CC235D" w:rsidRDefault="00C66872" w:rsidP="004C2E98">
            <w:pPr>
              <w:tabs>
                <w:tab w:val="left" w:pos="3878"/>
              </w:tabs>
              <w:spacing w:before="100"/>
              <w:rPr>
                <w:rFonts w:ascii="Arial" w:eastAsia="Times New Roman" w:hAnsi="Arial" w:cs="Arial"/>
                <w:bCs/>
                <w:sz w:val="24"/>
                <w:szCs w:val="24"/>
                <w:lang w:eastAsia="pl-PL"/>
              </w:rPr>
            </w:pPr>
          </w:p>
        </w:tc>
        <w:tc>
          <w:tcPr>
            <w:tcW w:w="1772" w:type="dxa"/>
            <w:shd w:val="clear" w:color="auto" w:fill="auto"/>
            <w:vAlign w:val="center"/>
          </w:tcPr>
          <w:p w:rsidR="00C66872" w:rsidRPr="00CC235D" w:rsidRDefault="00A260F0"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lastRenderedPageBreak/>
              <w:t>Wskaźnik mierzony w dniu rozpoczęcia uczestnictwa w pierwszej formie wsparcia.</w:t>
            </w:r>
          </w:p>
        </w:tc>
        <w:tc>
          <w:tcPr>
            <w:tcW w:w="1772" w:type="dxa"/>
            <w:shd w:val="clear" w:color="auto" w:fill="auto"/>
            <w:vAlign w:val="center"/>
          </w:tcPr>
          <w:p w:rsidR="00C66872" w:rsidRPr="00CC235D" w:rsidRDefault="00440C61"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 xml:space="preserve">oświadczenie </w:t>
            </w:r>
            <w:r w:rsidRPr="00CC235D">
              <w:rPr>
                <w:rFonts w:ascii="Arial" w:eastAsia="Times New Roman" w:hAnsi="Arial" w:cs="Arial"/>
                <w:bCs/>
                <w:sz w:val="24"/>
                <w:szCs w:val="24"/>
                <w:lang w:eastAsia="pl-PL"/>
              </w:rPr>
              <w:br/>
              <w:t xml:space="preserve">uczestnika projektu, wypełniony formularz </w:t>
            </w:r>
            <w:r w:rsidRPr="00CC235D">
              <w:rPr>
                <w:rFonts w:ascii="Arial" w:eastAsia="Times New Roman" w:hAnsi="Arial" w:cs="Arial"/>
                <w:bCs/>
                <w:sz w:val="24"/>
                <w:szCs w:val="24"/>
                <w:lang w:eastAsia="pl-PL"/>
              </w:rPr>
              <w:br/>
              <w:t>zgłoszeniowy</w:t>
            </w:r>
          </w:p>
        </w:tc>
      </w:tr>
      <w:tr w:rsidR="00C66872" w:rsidRPr="00CC235D" w:rsidTr="002B37B2">
        <w:trPr>
          <w:trHeight w:val="829"/>
        </w:trPr>
        <w:tc>
          <w:tcPr>
            <w:tcW w:w="568" w:type="dxa"/>
            <w:shd w:val="clear" w:color="auto" w:fill="auto"/>
            <w:vAlign w:val="center"/>
          </w:tcPr>
          <w:p w:rsidR="00C66872" w:rsidRPr="00CC235D" w:rsidRDefault="00C66872"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lastRenderedPageBreak/>
              <w:t>5</w:t>
            </w:r>
          </w:p>
        </w:tc>
        <w:tc>
          <w:tcPr>
            <w:tcW w:w="2485" w:type="dxa"/>
            <w:shd w:val="clear" w:color="auto" w:fill="auto"/>
            <w:vAlign w:val="center"/>
          </w:tcPr>
          <w:p w:rsidR="00C66872" w:rsidRPr="00CC235D" w:rsidRDefault="00440C61"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PLDCO05 Liczba pracowników dużych przedsiębiorstw objętych usługą rozwojową (osoby)</w:t>
            </w:r>
          </w:p>
        </w:tc>
        <w:tc>
          <w:tcPr>
            <w:tcW w:w="7437" w:type="dxa"/>
            <w:shd w:val="clear" w:color="auto" w:fill="auto"/>
            <w:vAlign w:val="center"/>
          </w:tcPr>
          <w:p w:rsidR="00440C61" w:rsidRPr="00CC235D" w:rsidRDefault="00440C61" w:rsidP="00440C61">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Wskaźnik mierzy liczbę pracowników dużych przedsiębiorstw, którzy otrzymali wsparcie w postaci usługi rozwojowej w ramach EFS+.</w:t>
            </w:r>
          </w:p>
          <w:p w:rsidR="00C66872" w:rsidRPr="00CC235D" w:rsidRDefault="00C66872" w:rsidP="002142F7">
            <w:pPr>
              <w:tabs>
                <w:tab w:val="left" w:pos="3878"/>
              </w:tabs>
              <w:spacing w:before="100"/>
              <w:rPr>
                <w:rFonts w:ascii="Arial" w:eastAsia="Times New Roman" w:hAnsi="Arial" w:cs="Arial"/>
                <w:bCs/>
                <w:sz w:val="24"/>
                <w:szCs w:val="24"/>
                <w:lang w:eastAsia="pl-PL"/>
              </w:rPr>
            </w:pPr>
          </w:p>
        </w:tc>
        <w:tc>
          <w:tcPr>
            <w:tcW w:w="1772" w:type="dxa"/>
            <w:shd w:val="clear" w:color="auto" w:fill="auto"/>
            <w:vAlign w:val="center"/>
          </w:tcPr>
          <w:p w:rsidR="00C66872" w:rsidRPr="00CC235D" w:rsidRDefault="00440C61"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Wskaźnik mierzony w dniu rozpoczęcia uczestnictwa w pierwszej formie wsparcia.</w:t>
            </w:r>
          </w:p>
        </w:tc>
        <w:tc>
          <w:tcPr>
            <w:tcW w:w="1772" w:type="dxa"/>
            <w:shd w:val="clear" w:color="auto" w:fill="auto"/>
            <w:vAlign w:val="center"/>
          </w:tcPr>
          <w:p w:rsidR="00C66872" w:rsidRPr="00CC235D" w:rsidRDefault="00440C61"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 xml:space="preserve">oświadczenie </w:t>
            </w:r>
            <w:r w:rsidRPr="00CC235D">
              <w:rPr>
                <w:rFonts w:ascii="Arial" w:eastAsia="Times New Roman" w:hAnsi="Arial" w:cs="Arial"/>
                <w:bCs/>
                <w:sz w:val="24"/>
                <w:szCs w:val="24"/>
                <w:lang w:eastAsia="pl-PL"/>
              </w:rPr>
              <w:br/>
              <w:t xml:space="preserve">uczestnika projektu, wypełniony formularz </w:t>
            </w:r>
            <w:r w:rsidRPr="00CC235D">
              <w:rPr>
                <w:rFonts w:ascii="Arial" w:eastAsia="Times New Roman" w:hAnsi="Arial" w:cs="Arial"/>
                <w:bCs/>
                <w:sz w:val="24"/>
                <w:szCs w:val="24"/>
                <w:lang w:eastAsia="pl-PL"/>
              </w:rPr>
              <w:br/>
              <w:t>zgłoszeniowy</w:t>
            </w:r>
          </w:p>
        </w:tc>
      </w:tr>
    </w:tbl>
    <w:p w:rsidR="00C66872" w:rsidRPr="00CC235D" w:rsidRDefault="00C66872" w:rsidP="00C66872">
      <w:pPr>
        <w:rPr>
          <w:rFonts w:ascii="Arial" w:hAnsi="Arial" w:cs="Arial"/>
          <w:sz w:val="24"/>
          <w:szCs w:val="24"/>
        </w:rPr>
      </w:pPr>
    </w:p>
    <w:p w:rsidR="00C66872" w:rsidRPr="00CC235D" w:rsidRDefault="00C66872" w:rsidP="00C66872">
      <w:pPr>
        <w:rPr>
          <w:rFonts w:ascii="Arial" w:hAnsi="Arial" w:cs="Arial"/>
          <w:sz w:val="24"/>
          <w:szCs w:val="24"/>
        </w:rPr>
      </w:pPr>
    </w:p>
    <w:p w:rsidR="00C66872" w:rsidRPr="00CC235D" w:rsidRDefault="00C66872" w:rsidP="00C66872">
      <w:pPr>
        <w:rPr>
          <w:rFonts w:ascii="Arial" w:hAnsi="Arial" w:cs="Arial"/>
          <w:sz w:val="24"/>
          <w:szCs w:val="24"/>
        </w:rPr>
      </w:pPr>
    </w:p>
    <w:p w:rsidR="00C66872" w:rsidRPr="00CC235D" w:rsidRDefault="00C66872" w:rsidP="00C66872">
      <w:pPr>
        <w:rPr>
          <w:rFonts w:ascii="Arial" w:hAnsi="Arial" w:cs="Arial"/>
          <w:sz w:val="24"/>
          <w:szCs w:val="24"/>
        </w:rPr>
      </w:pPr>
    </w:p>
    <w:p w:rsidR="00C66872" w:rsidRPr="00CC235D" w:rsidRDefault="00C66872" w:rsidP="00C66872">
      <w:pPr>
        <w:rPr>
          <w:rFonts w:ascii="Arial" w:hAnsi="Arial" w:cs="Arial"/>
          <w:sz w:val="24"/>
          <w:szCs w:val="24"/>
        </w:rPr>
      </w:pPr>
      <w:r w:rsidRPr="00CC235D">
        <w:rPr>
          <w:rFonts w:ascii="Arial" w:hAnsi="Arial" w:cs="Arial"/>
          <w:sz w:val="24"/>
          <w:szCs w:val="24"/>
        </w:rPr>
        <w:t>W ramach przedmiotowego naboru obowiązują następujące wskaźniki rezultatu:</w:t>
      </w:r>
    </w:p>
    <w:p w:rsidR="00C66872" w:rsidRPr="00CC235D" w:rsidRDefault="00C66872" w:rsidP="00C66872">
      <w:pPr>
        <w:rPr>
          <w:rFonts w:ascii="Arial" w:hAnsi="Arial" w:cs="Arial"/>
          <w:sz w:val="24"/>
          <w:szCs w:val="24"/>
        </w:rPr>
      </w:pPr>
    </w:p>
    <w:p w:rsidR="00C66872" w:rsidRPr="00CC235D" w:rsidRDefault="00C66872" w:rsidP="00C66872">
      <w:pPr>
        <w:rPr>
          <w:rFonts w:ascii="Arial" w:hAnsi="Arial" w:cs="Arial"/>
          <w:sz w:val="24"/>
          <w:szCs w:val="24"/>
        </w:rPr>
      </w:pPr>
    </w:p>
    <w:tbl>
      <w:tblPr>
        <w:tblW w:w="14034" w:type="dxa"/>
        <w:tblInd w:w="-289" w:type="dxa"/>
        <w:tblLayout w:type="fixed"/>
        <w:tblCellMar>
          <w:left w:w="70" w:type="dxa"/>
          <w:right w:w="70" w:type="dxa"/>
        </w:tblCellMar>
        <w:tblLook w:val="00A0" w:firstRow="1" w:lastRow="0" w:firstColumn="1" w:lastColumn="0" w:noHBand="0" w:noVBand="0"/>
      </w:tblPr>
      <w:tblGrid>
        <w:gridCol w:w="568"/>
        <w:gridCol w:w="2485"/>
        <w:gridCol w:w="7437"/>
        <w:gridCol w:w="1843"/>
        <w:gridCol w:w="1701"/>
      </w:tblGrid>
      <w:tr w:rsidR="00C66872" w:rsidRPr="00CC235D" w:rsidTr="002B37B2">
        <w:trPr>
          <w:trHeight w:val="143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66872" w:rsidRPr="00CC235D" w:rsidRDefault="00C66872" w:rsidP="002142F7">
            <w:pPr>
              <w:tabs>
                <w:tab w:val="left" w:pos="3878"/>
              </w:tabs>
              <w:spacing w:before="100"/>
              <w:rPr>
                <w:rFonts w:ascii="Arial" w:eastAsia="Times New Roman" w:hAnsi="Arial" w:cs="Arial"/>
                <w:b/>
                <w:bCs/>
                <w:sz w:val="24"/>
                <w:szCs w:val="24"/>
                <w:lang w:eastAsia="pl-PL"/>
              </w:rPr>
            </w:pPr>
            <w:r w:rsidRPr="00CC235D">
              <w:rPr>
                <w:rFonts w:ascii="Arial" w:eastAsia="Times New Roman" w:hAnsi="Arial" w:cs="Arial"/>
                <w:b/>
                <w:bCs/>
                <w:sz w:val="24"/>
                <w:szCs w:val="24"/>
                <w:lang w:eastAsia="pl-PL"/>
              </w:rPr>
              <w:t>Lp.</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rsidR="00C66872" w:rsidRPr="00CC235D" w:rsidRDefault="00C66872" w:rsidP="002142F7">
            <w:pPr>
              <w:tabs>
                <w:tab w:val="left" w:pos="3878"/>
              </w:tabs>
              <w:spacing w:before="100"/>
              <w:rPr>
                <w:rFonts w:ascii="Arial" w:eastAsia="Times New Roman" w:hAnsi="Arial" w:cs="Arial"/>
                <w:b/>
                <w:bCs/>
                <w:sz w:val="24"/>
                <w:szCs w:val="24"/>
                <w:lang w:eastAsia="pl-PL"/>
              </w:rPr>
            </w:pPr>
            <w:r w:rsidRPr="00CC235D">
              <w:rPr>
                <w:rFonts w:ascii="Arial" w:eastAsia="Times New Roman" w:hAnsi="Arial" w:cs="Arial"/>
                <w:b/>
                <w:bCs/>
                <w:sz w:val="24"/>
                <w:szCs w:val="24"/>
                <w:lang w:eastAsia="pl-PL"/>
              </w:rPr>
              <w:t>Nazwa wskaźnika/</w:t>
            </w:r>
            <w:r w:rsidRPr="00CC235D">
              <w:rPr>
                <w:rFonts w:ascii="Arial" w:eastAsia="Times New Roman" w:hAnsi="Arial" w:cs="Arial"/>
                <w:b/>
                <w:bCs/>
                <w:sz w:val="24"/>
                <w:szCs w:val="24"/>
                <w:lang w:eastAsia="pl-PL"/>
              </w:rPr>
              <w:br/>
              <w:t>jednostka miary</w:t>
            </w:r>
          </w:p>
        </w:tc>
        <w:tc>
          <w:tcPr>
            <w:tcW w:w="7437" w:type="dxa"/>
            <w:tcBorders>
              <w:top w:val="single" w:sz="4" w:space="0" w:color="auto"/>
              <w:left w:val="single" w:sz="4" w:space="0" w:color="auto"/>
              <w:bottom w:val="single" w:sz="4" w:space="0" w:color="auto"/>
              <w:right w:val="single" w:sz="4" w:space="0" w:color="auto"/>
            </w:tcBorders>
            <w:shd w:val="clear" w:color="auto" w:fill="auto"/>
            <w:vAlign w:val="center"/>
          </w:tcPr>
          <w:p w:rsidR="00C66872" w:rsidRPr="00CC235D" w:rsidRDefault="00C66872" w:rsidP="002142F7">
            <w:pPr>
              <w:tabs>
                <w:tab w:val="left" w:pos="3878"/>
              </w:tabs>
              <w:spacing w:before="100"/>
              <w:rPr>
                <w:rFonts w:ascii="Arial" w:eastAsia="Times New Roman" w:hAnsi="Arial" w:cs="Arial"/>
                <w:b/>
                <w:bCs/>
                <w:sz w:val="24"/>
                <w:szCs w:val="24"/>
                <w:lang w:eastAsia="pl-PL"/>
              </w:rPr>
            </w:pPr>
            <w:r w:rsidRPr="00CC235D">
              <w:rPr>
                <w:rFonts w:ascii="Arial" w:eastAsia="Times New Roman" w:hAnsi="Arial" w:cs="Arial"/>
                <w:b/>
                <w:bCs/>
                <w:sz w:val="24"/>
                <w:szCs w:val="24"/>
                <w:lang w:eastAsia="pl-PL"/>
              </w:rPr>
              <w:t>Definicja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66872" w:rsidRPr="00CC235D" w:rsidRDefault="00C66872" w:rsidP="002142F7">
            <w:pPr>
              <w:tabs>
                <w:tab w:val="left" w:pos="3878"/>
              </w:tabs>
              <w:spacing w:before="100"/>
              <w:rPr>
                <w:rFonts w:ascii="Arial" w:eastAsia="Times New Roman" w:hAnsi="Arial" w:cs="Arial"/>
                <w:b/>
                <w:bCs/>
                <w:sz w:val="24"/>
                <w:szCs w:val="24"/>
                <w:lang w:eastAsia="pl-PL"/>
              </w:rPr>
            </w:pPr>
            <w:r w:rsidRPr="00CC235D">
              <w:rPr>
                <w:rFonts w:ascii="Arial" w:eastAsia="Times New Roman" w:hAnsi="Arial" w:cs="Arial"/>
                <w:b/>
                <w:bCs/>
                <w:sz w:val="24"/>
                <w:szCs w:val="24"/>
                <w:lang w:eastAsia="pl-PL"/>
              </w:rPr>
              <w:t>Termin pomiaru wskaźnika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6872" w:rsidRPr="00CC235D" w:rsidRDefault="00C66872" w:rsidP="002142F7">
            <w:pPr>
              <w:tabs>
                <w:tab w:val="left" w:pos="3878"/>
              </w:tabs>
              <w:spacing w:before="100"/>
              <w:rPr>
                <w:rFonts w:ascii="Arial" w:eastAsia="Times New Roman" w:hAnsi="Arial" w:cs="Arial"/>
                <w:b/>
                <w:bCs/>
                <w:sz w:val="24"/>
                <w:szCs w:val="24"/>
                <w:lang w:eastAsia="pl-PL"/>
              </w:rPr>
            </w:pPr>
            <w:r w:rsidRPr="00CC235D">
              <w:rPr>
                <w:rFonts w:ascii="Arial" w:eastAsia="Times New Roman" w:hAnsi="Arial" w:cs="Arial"/>
                <w:b/>
                <w:bCs/>
                <w:sz w:val="24"/>
                <w:szCs w:val="24"/>
                <w:lang w:eastAsia="pl-PL"/>
              </w:rPr>
              <w:t xml:space="preserve">Sposób i </w:t>
            </w:r>
            <w:r w:rsidR="00A20AAE">
              <w:rPr>
                <w:rFonts w:ascii="Arial" w:eastAsia="Times New Roman" w:hAnsi="Arial" w:cs="Arial"/>
                <w:b/>
                <w:bCs/>
                <w:sz w:val="24"/>
                <w:szCs w:val="24"/>
                <w:lang w:eastAsia="pl-PL"/>
              </w:rPr>
              <w:t xml:space="preserve">przykładowe </w:t>
            </w:r>
            <w:r w:rsidRPr="00CC235D">
              <w:rPr>
                <w:rFonts w:ascii="Arial" w:eastAsia="Times New Roman" w:hAnsi="Arial" w:cs="Arial"/>
                <w:b/>
                <w:bCs/>
                <w:sz w:val="24"/>
                <w:szCs w:val="24"/>
                <w:lang w:eastAsia="pl-PL"/>
              </w:rPr>
              <w:t>źródła  pomiaru wskaźnika</w:t>
            </w:r>
          </w:p>
        </w:tc>
      </w:tr>
      <w:tr w:rsidR="003B2B92" w:rsidRPr="00CC235D" w:rsidTr="002B37B2">
        <w:trPr>
          <w:trHeight w:val="8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B2B92" w:rsidRPr="00CC235D" w:rsidRDefault="003B2B92" w:rsidP="003B2B92">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rsidR="003B2B92" w:rsidRPr="00CC235D" w:rsidRDefault="003B2B92" w:rsidP="003B2B92">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EECR03</w:t>
            </w:r>
            <w:r w:rsidRPr="00CC235D">
              <w:rPr>
                <w:rFonts w:ascii="Arial" w:hAnsi="Arial" w:cs="Arial"/>
                <w:sz w:val="24"/>
                <w:szCs w:val="24"/>
              </w:rPr>
              <w:t xml:space="preserve"> Liczba osób, które uzyskały kwalifikacje po </w:t>
            </w:r>
            <w:r w:rsidRPr="00CC235D">
              <w:rPr>
                <w:rFonts w:ascii="Arial" w:hAnsi="Arial" w:cs="Arial"/>
                <w:sz w:val="24"/>
                <w:szCs w:val="24"/>
              </w:rPr>
              <w:lastRenderedPageBreak/>
              <w:t>opuszczeniu programu (osoby)</w:t>
            </w:r>
          </w:p>
        </w:tc>
        <w:tc>
          <w:tcPr>
            <w:tcW w:w="7437" w:type="dxa"/>
          </w:tcPr>
          <w:p w:rsidR="003B2B92" w:rsidRPr="00CC235D" w:rsidRDefault="003B2B92" w:rsidP="003B2B92">
            <w:pPr>
              <w:spacing w:after="120"/>
              <w:rPr>
                <w:rFonts w:ascii="Arial" w:hAnsi="Arial" w:cs="Arial"/>
                <w:sz w:val="24"/>
                <w:szCs w:val="24"/>
              </w:rPr>
            </w:pPr>
            <w:r w:rsidRPr="00CC235D">
              <w:rPr>
                <w:rFonts w:ascii="Arial" w:hAnsi="Arial" w:cs="Arial"/>
                <w:sz w:val="24"/>
                <w:szCs w:val="24"/>
              </w:rPr>
              <w:lastRenderedPageBreak/>
              <w:t xml:space="preserve"> </w:t>
            </w:r>
          </w:p>
          <w:p w:rsidR="003B2B92" w:rsidRPr="00CC235D" w:rsidRDefault="003B2B92" w:rsidP="003B2B92">
            <w:pPr>
              <w:rPr>
                <w:rFonts w:ascii="Arial" w:eastAsia="Times New Roman" w:hAnsi="Arial" w:cs="Arial"/>
                <w:sz w:val="24"/>
                <w:szCs w:val="24"/>
                <w:lang w:eastAsia="pl-PL"/>
              </w:rPr>
            </w:pPr>
            <w:r w:rsidRPr="00CC235D">
              <w:rPr>
                <w:rFonts w:ascii="Arial" w:eastAsia="Times New Roman" w:hAnsi="Arial" w:cs="Arial"/>
                <w:sz w:val="24"/>
                <w:szCs w:val="24"/>
                <w:lang w:eastAsia="pl-PL"/>
              </w:rPr>
              <w:t xml:space="preserve">Do wskaźnika wlicza się osoby, które otrzymały wsparcie EFS+ i uzyskały kwalifikacje lub kompetencje po opuszczeniu projektu. </w:t>
            </w:r>
          </w:p>
          <w:p w:rsidR="003B2B92" w:rsidRPr="00CC235D" w:rsidRDefault="003B2B92" w:rsidP="003B2B92">
            <w:pPr>
              <w:rPr>
                <w:rFonts w:ascii="Arial" w:eastAsia="Times New Roman" w:hAnsi="Arial" w:cs="Arial"/>
                <w:i/>
                <w:iCs/>
                <w:sz w:val="24"/>
                <w:szCs w:val="24"/>
                <w:lang w:eastAsia="pl-PL"/>
              </w:rPr>
            </w:pPr>
            <w:r w:rsidRPr="00CC235D">
              <w:rPr>
                <w:rFonts w:ascii="Arial" w:eastAsia="Times New Roman" w:hAnsi="Arial" w:cs="Arial"/>
                <w:i/>
                <w:iCs/>
                <w:sz w:val="24"/>
                <w:szCs w:val="24"/>
                <w:lang w:eastAsia="pl-PL"/>
              </w:rPr>
              <w:lastRenderedPageBreak/>
              <w:t xml:space="preserve">Kwalifikacje to określony zestaw efektów uczenia się w zakresie wiedzy, umiejętności oraz kompetencji społecznych nabytych w drodze edukacji formalnej, edukacji </w:t>
            </w:r>
            <w:proofErr w:type="spellStart"/>
            <w:r w:rsidRPr="00CC235D">
              <w:rPr>
                <w:rFonts w:ascii="Arial" w:eastAsia="Times New Roman" w:hAnsi="Arial" w:cs="Arial"/>
                <w:i/>
                <w:iCs/>
                <w:sz w:val="24"/>
                <w:szCs w:val="24"/>
                <w:lang w:eastAsia="pl-PL"/>
              </w:rPr>
              <w:t>pozaformalnej</w:t>
            </w:r>
            <w:proofErr w:type="spellEnd"/>
            <w:r w:rsidRPr="00CC235D">
              <w:rPr>
                <w:rFonts w:ascii="Arial" w:eastAsia="Times New Roman" w:hAnsi="Arial" w:cs="Arial"/>
                <w:i/>
                <w:iCs/>
                <w:sz w:val="24"/>
                <w:szCs w:val="24"/>
                <w:lang w:eastAsia="pl-PL"/>
              </w:rPr>
              <w:t xml:space="preserve"> lub poprzez uczenie się nieformalne, zgodnych z ustalonymi dla danej kwalifikacji wymaganiami, których osiągnięcie zostało sprawdzone w walidacji oraz formalnie potwierdzone przez instytucję uprawnioną do certyfikowania</w:t>
            </w:r>
          </w:p>
          <w:p w:rsidR="003B2B92" w:rsidRPr="00CC235D" w:rsidRDefault="003B2B92" w:rsidP="003B2B92">
            <w:pPr>
              <w:rPr>
                <w:rFonts w:ascii="Arial" w:eastAsia="Times New Roman" w:hAnsi="Arial" w:cs="Arial"/>
                <w:sz w:val="24"/>
                <w:szCs w:val="24"/>
                <w:lang w:eastAsia="pl-PL"/>
              </w:rPr>
            </w:pPr>
            <w:r w:rsidRPr="00CC235D">
              <w:rPr>
                <w:rFonts w:ascii="Arial" w:eastAsia="Times New Roman" w:hAnsi="Arial" w:cs="Arial"/>
                <w:sz w:val="24"/>
                <w:szCs w:val="24"/>
                <w:lang w:eastAsia="pl-PL"/>
              </w:rPr>
              <w:t xml:space="preserve">Kwalifikacje mogą być nadawane przez: </w:t>
            </w:r>
          </w:p>
          <w:p w:rsidR="003B2B92" w:rsidRPr="00CC235D" w:rsidRDefault="003B2B92" w:rsidP="00CC7A65">
            <w:pPr>
              <w:numPr>
                <w:ilvl w:val="0"/>
                <w:numId w:val="2"/>
              </w:numPr>
              <w:rPr>
                <w:rFonts w:ascii="Arial" w:eastAsia="Times New Roman" w:hAnsi="Arial" w:cs="Arial"/>
                <w:sz w:val="24"/>
                <w:szCs w:val="24"/>
                <w:lang w:eastAsia="pl-PL"/>
              </w:rPr>
            </w:pPr>
            <w:r w:rsidRPr="00CC235D">
              <w:rPr>
                <w:rFonts w:ascii="Arial" w:eastAsia="Times New Roman" w:hAnsi="Arial" w:cs="Arial"/>
                <w:sz w:val="24"/>
                <w:szCs w:val="24"/>
                <w:lang w:eastAsia="pl-PL"/>
              </w:rPr>
              <w:t>podmioty uprawnione do realizacji procesów walidacji i certyfikowania zgodnie z ustawą z dnia 22 grudnia 2015 r. o Zintegrowanym Systemie Kwalifikacji,</w:t>
            </w:r>
          </w:p>
          <w:p w:rsidR="003B2B92" w:rsidRPr="00CC235D" w:rsidRDefault="003B2B92" w:rsidP="00CC7A65">
            <w:pPr>
              <w:numPr>
                <w:ilvl w:val="0"/>
                <w:numId w:val="2"/>
              </w:numPr>
              <w:rPr>
                <w:rFonts w:ascii="Arial" w:eastAsia="Times New Roman" w:hAnsi="Arial" w:cs="Arial"/>
                <w:sz w:val="24"/>
                <w:szCs w:val="24"/>
                <w:lang w:eastAsia="pl-PL"/>
              </w:rPr>
            </w:pPr>
            <w:r w:rsidRPr="00CC235D">
              <w:rPr>
                <w:rFonts w:ascii="Arial" w:eastAsia="Times New Roman" w:hAnsi="Arial" w:cs="Arial"/>
                <w:sz w:val="24"/>
                <w:szCs w:val="24"/>
                <w:lang w:eastAsia="pl-PL"/>
              </w:rPr>
              <w:t>podmioty uprawnione do realizacji procesów walidacji i certyfikowania na mocy innych przepisów prawa,</w:t>
            </w:r>
          </w:p>
          <w:p w:rsidR="003B2B92" w:rsidRPr="00CC235D" w:rsidRDefault="003B2B92" w:rsidP="00CC7A65">
            <w:pPr>
              <w:numPr>
                <w:ilvl w:val="0"/>
                <w:numId w:val="2"/>
              </w:numPr>
              <w:rPr>
                <w:rFonts w:ascii="Arial" w:eastAsia="Times New Roman" w:hAnsi="Arial" w:cs="Arial"/>
                <w:sz w:val="24"/>
                <w:szCs w:val="24"/>
                <w:lang w:eastAsia="pl-PL"/>
              </w:rPr>
            </w:pPr>
            <w:r w:rsidRPr="00CC235D">
              <w:rPr>
                <w:rFonts w:ascii="Arial" w:eastAsia="Times New Roman" w:hAnsi="Arial" w:cs="Arial"/>
                <w:sz w:val="24"/>
                <w:szCs w:val="24"/>
                <w:lang w:eastAsia="pl-PL"/>
              </w:rPr>
              <w:t>podmioty uprawnione do wydawania dokumentów potwierdzających uzyskanie kwalifikacji, w tym w zawodzie,</w:t>
            </w:r>
          </w:p>
          <w:p w:rsidR="003B2B92" w:rsidRPr="00CC235D" w:rsidRDefault="003B2B92" w:rsidP="00CC7A65">
            <w:pPr>
              <w:numPr>
                <w:ilvl w:val="0"/>
                <w:numId w:val="2"/>
              </w:numPr>
              <w:rPr>
                <w:rFonts w:ascii="Arial" w:eastAsia="Times New Roman" w:hAnsi="Arial" w:cs="Arial"/>
                <w:i/>
                <w:iCs/>
                <w:sz w:val="24"/>
                <w:szCs w:val="24"/>
                <w:lang w:eastAsia="pl-PL"/>
              </w:rPr>
            </w:pPr>
            <w:r w:rsidRPr="00CC235D">
              <w:rPr>
                <w:rFonts w:ascii="Arial" w:eastAsia="Times New Roman" w:hAnsi="Arial" w:cs="Arial"/>
                <w:sz w:val="24"/>
                <w:szCs w:val="24"/>
                <w:lang w:eastAsia="pl-PL"/>
              </w:rPr>
              <w:t>organy władz publicznych lub samorządów zawodowych, uprawnione do wydawania dokumentów potwierdzających kwalifikację na podstawie ustawy lub rozporządzenia.</w:t>
            </w:r>
          </w:p>
          <w:p w:rsidR="003B2B92" w:rsidRPr="00CC235D" w:rsidRDefault="003B2B92" w:rsidP="003B2B92">
            <w:pPr>
              <w:rPr>
                <w:rFonts w:ascii="Arial" w:eastAsia="Times New Roman" w:hAnsi="Arial" w:cs="Arial"/>
                <w:sz w:val="24"/>
                <w:szCs w:val="24"/>
                <w:lang w:eastAsia="pl-PL"/>
              </w:rPr>
            </w:pPr>
            <w:r w:rsidRPr="00CC235D">
              <w:rPr>
                <w:rFonts w:ascii="Arial" w:eastAsia="Times New Roman" w:hAnsi="Arial" w:cs="Arial"/>
                <w:sz w:val="24"/>
                <w:szCs w:val="24"/>
                <w:lang w:eastAsia="pl-PL"/>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rsidR="003B2B92" w:rsidRPr="00CC235D" w:rsidRDefault="003B2B92" w:rsidP="003B2B92">
            <w:pPr>
              <w:rPr>
                <w:rFonts w:ascii="Arial" w:eastAsia="Times New Roman" w:hAnsi="Arial" w:cs="Arial"/>
                <w:sz w:val="24"/>
                <w:szCs w:val="24"/>
                <w:lang w:eastAsia="pl-PL"/>
              </w:rPr>
            </w:pPr>
            <w:r w:rsidRPr="00CC235D">
              <w:rPr>
                <w:rFonts w:ascii="Arial" w:eastAsia="Times New Roman" w:hAnsi="Arial" w:cs="Arial"/>
                <w:sz w:val="24"/>
                <w:szCs w:val="24"/>
                <w:lang w:eastAsia="pl-PL"/>
              </w:rPr>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 </w:t>
            </w:r>
          </w:p>
          <w:p w:rsidR="003B2B92" w:rsidRPr="00CC235D" w:rsidRDefault="003B2B92" w:rsidP="003B2B92">
            <w:pPr>
              <w:rPr>
                <w:rFonts w:ascii="Arial" w:eastAsia="Times New Roman" w:hAnsi="Arial" w:cs="Arial"/>
                <w:sz w:val="24"/>
                <w:szCs w:val="24"/>
                <w:lang w:eastAsia="pl-PL"/>
              </w:rPr>
            </w:pPr>
            <w:r w:rsidRPr="00CC235D">
              <w:rPr>
                <w:rFonts w:ascii="Arial" w:eastAsia="Times New Roman" w:hAnsi="Arial" w:cs="Arial"/>
                <w:sz w:val="24"/>
                <w:szCs w:val="24"/>
                <w:lang w:eastAsia="pl-PL"/>
              </w:rPr>
              <w:lastRenderedPageBreak/>
              <w:t xml:space="preserve">Fakt nabycia kompetencji jest weryfikowany w ramach następujących etapów: </w:t>
            </w:r>
          </w:p>
          <w:p w:rsidR="003B2B92" w:rsidRPr="00CC235D" w:rsidRDefault="003B2B92" w:rsidP="003B2B92">
            <w:pPr>
              <w:rPr>
                <w:rFonts w:ascii="Arial" w:eastAsia="Times New Roman" w:hAnsi="Arial" w:cs="Arial"/>
                <w:sz w:val="24"/>
                <w:szCs w:val="24"/>
                <w:lang w:eastAsia="pl-PL"/>
              </w:rPr>
            </w:pPr>
            <w:r w:rsidRPr="00CC235D">
              <w:rPr>
                <w:rFonts w:ascii="Arial" w:eastAsia="Times New Roman" w:hAnsi="Arial" w:cs="Arial"/>
                <w:sz w:val="24"/>
                <w:szCs w:val="24"/>
                <w:lang w:eastAsia="pl-PL"/>
              </w:rPr>
              <w:t>a) ETAP I – Zakres – zdefiniowanie w ramach wniosku o dofinansowanie (w przypadku projektów) lub usługi (w przypadku Podmiotowego Systemu Finansowania) grupy docelowej do objęcia wsparciem oraz zakresu tematycznego wsparcia, który będzie poddany ocenie,</w:t>
            </w:r>
          </w:p>
          <w:p w:rsidR="003B2B92" w:rsidRPr="00CC235D" w:rsidRDefault="003B2B92" w:rsidP="003B2B92">
            <w:pPr>
              <w:rPr>
                <w:rFonts w:ascii="Arial" w:eastAsia="Times New Roman" w:hAnsi="Arial" w:cs="Arial"/>
                <w:sz w:val="24"/>
                <w:szCs w:val="24"/>
                <w:lang w:eastAsia="pl-PL"/>
              </w:rPr>
            </w:pPr>
            <w:r w:rsidRPr="00CC235D">
              <w:rPr>
                <w:rFonts w:ascii="Arial" w:eastAsia="Times New Roman" w:hAnsi="Arial" w:cs="Arial"/>
                <w:sz w:val="24"/>
                <w:szCs w:val="24"/>
                <w:lang w:eastAsia="pl-PL"/>
              </w:rPr>
              <w:t>b) 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rsidR="003B2B92" w:rsidRPr="00CC235D" w:rsidRDefault="003B2B92" w:rsidP="003B2B92">
            <w:pPr>
              <w:rPr>
                <w:rFonts w:ascii="Arial" w:eastAsia="Times New Roman" w:hAnsi="Arial" w:cs="Arial"/>
                <w:sz w:val="24"/>
                <w:szCs w:val="24"/>
                <w:lang w:eastAsia="pl-PL"/>
              </w:rPr>
            </w:pPr>
            <w:r w:rsidRPr="00CC235D">
              <w:rPr>
                <w:rFonts w:ascii="Arial" w:eastAsia="Times New Roman" w:hAnsi="Arial" w:cs="Arial"/>
                <w:sz w:val="24"/>
                <w:szCs w:val="24"/>
                <w:lang w:eastAsia="pl-PL"/>
              </w:rPr>
              <w:t xml:space="preserve">c) 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rsidR="003B2B92" w:rsidRPr="00CC235D" w:rsidRDefault="003B2B92" w:rsidP="003B2B92">
            <w:pPr>
              <w:rPr>
                <w:rFonts w:ascii="Arial" w:eastAsia="Times New Roman" w:hAnsi="Arial" w:cs="Arial"/>
                <w:sz w:val="24"/>
                <w:szCs w:val="24"/>
                <w:lang w:eastAsia="pl-PL"/>
              </w:rPr>
            </w:pPr>
            <w:r w:rsidRPr="00CC235D">
              <w:rPr>
                <w:rFonts w:ascii="Arial" w:eastAsia="Times New Roman" w:hAnsi="Arial" w:cs="Arial"/>
                <w:sz w:val="24"/>
                <w:szCs w:val="24"/>
                <w:lang w:eastAsia="pl-PL"/>
              </w:rPr>
              <w:t xml:space="preserve">d) 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rsidR="003B2B92" w:rsidRPr="00CC235D" w:rsidRDefault="003B2B92" w:rsidP="003B2B92">
            <w:pPr>
              <w:rPr>
                <w:rFonts w:ascii="Arial" w:eastAsia="Times New Roman" w:hAnsi="Arial" w:cs="Arial"/>
                <w:sz w:val="24"/>
                <w:szCs w:val="24"/>
                <w:lang w:eastAsia="pl-PL"/>
              </w:rPr>
            </w:pPr>
            <w:r w:rsidRPr="00CC235D">
              <w:rPr>
                <w:rFonts w:ascii="Arial" w:eastAsia="Times New Roman" w:hAnsi="Arial" w:cs="Arial"/>
                <w:sz w:val="24"/>
                <w:szCs w:val="24"/>
                <w:lang w:eastAsia="pl-PL"/>
              </w:rPr>
              <w:t xml:space="preserve">Przez efekty uczenia się należy rozumieć wiedzę, umiejętności oraz kompetencje społeczne nabyte w edukacji formalnej, edukacji </w:t>
            </w:r>
            <w:proofErr w:type="spellStart"/>
            <w:r w:rsidRPr="00CC235D">
              <w:rPr>
                <w:rFonts w:ascii="Arial" w:eastAsia="Times New Roman" w:hAnsi="Arial" w:cs="Arial"/>
                <w:sz w:val="24"/>
                <w:szCs w:val="24"/>
                <w:lang w:eastAsia="pl-PL"/>
              </w:rPr>
              <w:t>pozaformalnej</w:t>
            </w:r>
            <w:proofErr w:type="spellEnd"/>
            <w:r w:rsidRPr="00CC235D">
              <w:rPr>
                <w:rFonts w:ascii="Arial" w:eastAsia="Times New Roman" w:hAnsi="Arial" w:cs="Arial"/>
                <w:sz w:val="24"/>
                <w:szCs w:val="24"/>
                <w:lang w:eastAsia="pl-PL"/>
              </w:rPr>
              <w:t xml:space="preserve"> lub poprzez uczenie się nieformalne, zgodne z ustalonymi dla danej kwalifikacji lub kompetencji wymaganiami. </w:t>
            </w:r>
          </w:p>
          <w:p w:rsidR="003B2B92" w:rsidRPr="00CC235D" w:rsidRDefault="003B2B92" w:rsidP="003B2B92">
            <w:pPr>
              <w:rPr>
                <w:rFonts w:ascii="Arial" w:eastAsia="Times New Roman" w:hAnsi="Arial" w:cs="Arial"/>
                <w:sz w:val="24"/>
                <w:szCs w:val="24"/>
                <w:lang w:eastAsia="pl-PL"/>
              </w:rPr>
            </w:pPr>
            <w:r w:rsidRPr="00CC235D">
              <w:rPr>
                <w:rFonts w:ascii="Arial" w:eastAsia="Times New Roman" w:hAnsi="Arial" w:cs="Arial"/>
                <w:sz w:val="24"/>
                <w:szCs w:val="24"/>
                <w:lang w:eastAsia="pl-PL"/>
              </w:rPr>
              <w:t xml:space="preserve">Wykazywać należy wyłącznie kwalifikacje lub kompetencje osiągnięte w wyniku udziału w projekcie EFS+. Powinny one być </w:t>
            </w:r>
            <w:r w:rsidRPr="00CC235D">
              <w:rPr>
                <w:rFonts w:ascii="Arial" w:eastAsia="Times New Roman" w:hAnsi="Arial" w:cs="Arial"/>
                <w:sz w:val="24"/>
                <w:szCs w:val="24"/>
                <w:lang w:eastAsia="pl-PL"/>
              </w:rPr>
              <w:lastRenderedPageBreak/>
              <w:t xml:space="preserve">wykazywane tylko raz dla uczestnika/projektu. </w:t>
            </w:r>
          </w:p>
          <w:p w:rsidR="003B2B92" w:rsidRPr="00CC235D" w:rsidRDefault="003B2B92" w:rsidP="003B2B92">
            <w:pPr>
              <w:rPr>
                <w:rFonts w:ascii="Arial" w:eastAsia="Times New Roman" w:hAnsi="Arial" w:cs="Arial"/>
                <w:sz w:val="24"/>
                <w:szCs w:val="24"/>
                <w:lang w:eastAsia="pl-PL"/>
              </w:rPr>
            </w:pPr>
            <w:r w:rsidRPr="00CC235D">
              <w:rPr>
                <w:rFonts w:ascii="Arial" w:eastAsia="Times New Roman" w:hAnsi="Arial" w:cs="Arial"/>
                <w:sz w:val="24"/>
                <w:szCs w:val="24"/>
                <w:lang w:eastAsia="pl-PL"/>
              </w:rPr>
              <w:t>.</w:t>
            </w:r>
          </w:p>
          <w:p w:rsidR="003B2B92" w:rsidRPr="00CC235D" w:rsidRDefault="003B2B92" w:rsidP="003B2B92">
            <w:pPr>
              <w:rPr>
                <w:rFonts w:ascii="Arial" w:eastAsia="Times New Roman" w:hAnsi="Arial" w:cs="Arial"/>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2B92" w:rsidRPr="00CC235D" w:rsidRDefault="00D83564" w:rsidP="003B2B92">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lastRenderedPageBreak/>
              <w:t xml:space="preserve">Do wskaźnika należy wliczać jedynie osoby, </w:t>
            </w:r>
            <w:r w:rsidRPr="00CC235D">
              <w:rPr>
                <w:rFonts w:ascii="Arial" w:eastAsia="Times New Roman" w:hAnsi="Arial" w:cs="Arial"/>
                <w:bCs/>
                <w:sz w:val="24"/>
                <w:szCs w:val="24"/>
                <w:lang w:eastAsia="pl-PL"/>
              </w:rPr>
              <w:lastRenderedPageBreak/>
              <w:t>które uzyskały kwalifikacje /kompetencje w trakcie lub bezpośrednio po zakończeniu udziału w projekcie, tj. w ciągu czterech tygodni, które minęły od momentu zakończenia udziału w projekcie.</w:t>
            </w:r>
          </w:p>
          <w:p w:rsidR="00D83564" w:rsidRPr="00CC235D" w:rsidRDefault="00D83564" w:rsidP="00D83564">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 xml:space="preserve">Jeżeli okres oczekiwania na wyniki walidacji/certyfikacji jest dłuższy niż cztery tygodnie od zakończenia udziału w projekcie, ale egzamin odbył się w trakcie tych czterech tygodni, wówczas można uwzględnić </w:t>
            </w:r>
            <w:r w:rsidRPr="00CC235D">
              <w:rPr>
                <w:rFonts w:ascii="Arial" w:eastAsia="Times New Roman" w:hAnsi="Arial" w:cs="Arial"/>
                <w:bCs/>
                <w:sz w:val="24"/>
                <w:szCs w:val="24"/>
                <w:lang w:eastAsia="pl-PL"/>
              </w:rPr>
              <w:lastRenderedPageBreak/>
              <w:t>osoby we wskaźniku (po otrzymaniu wyników). We wskaźniku należy uwzględnić jednak tylko te osoby, które otrzymały wyniki do czasu ostatecznego rozliczenia projektu.</w:t>
            </w:r>
          </w:p>
          <w:p w:rsidR="00D83564" w:rsidRPr="00CC235D" w:rsidRDefault="00D83564" w:rsidP="00D83564">
            <w:pPr>
              <w:tabs>
                <w:tab w:val="left" w:pos="3878"/>
              </w:tabs>
              <w:spacing w:before="100"/>
              <w:rPr>
                <w:rFonts w:ascii="Arial" w:eastAsia="Times New Roman" w:hAnsi="Arial" w:cs="Arial"/>
                <w:bCs/>
                <w:sz w:val="24"/>
                <w:szCs w:val="24"/>
                <w:lang w:eastAsia="pl-PL"/>
              </w:rPr>
            </w:pPr>
          </w:p>
          <w:p w:rsidR="00D83564" w:rsidRPr="00CC235D" w:rsidRDefault="00D83564" w:rsidP="00D83564">
            <w:pPr>
              <w:tabs>
                <w:tab w:val="left" w:pos="3878"/>
              </w:tabs>
              <w:spacing w:before="100"/>
              <w:jc w:val="both"/>
              <w:rPr>
                <w:rFonts w:ascii="Arial" w:eastAsia="Times New Roman" w:hAnsi="Arial" w:cs="Arial"/>
                <w:bCs/>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F2480" w:rsidRPr="00CC235D" w:rsidRDefault="00CC7A65" w:rsidP="002B37B2">
            <w:pPr>
              <w:pStyle w:val="Akapitzlist"/>
              <w:numPr>
                <w:ilvl w:val="0"/>
                <w:numId w:val="3"/>
              </w:numPr>
              <w:tabs>
                <w:tab w:val="left" w:pos="241"/>
                <w:tab w:val="left" w:pos="3878"/>
              </w:tabs>
              <w:spacing w:before="100"/>
              <w:ind w:left="72" w:firstLine="0"/>
              <w:rPr>
                <w:rFonts w:ascii="Arial" w:eastAsia="Times New Roman" w:hAnsi="Arial" w:cs="Arial"/>
                <w:bCs/>
                <w:sz w:val="24"/>
                <w:szCs w:val="24"/>
                <w:lang w:eastAsia="pl-PL"/>
              </w:rPr>
            </w:pPr>
            <w:r w:rsidRPr="00CC235D">
              <w:rPr>
                <w:rFonts w:ascii="Arial" w:eastAsia="Times New Roman" w:hAnsi="Arial" w:cs="Arial"/>
                <w:bCs/>
                <w:sz w:val="24"/>
                <w:szCs w:val="24"/>
                <w:lang w:eastAsia="pl-PL"/>
              </w:rPr>
              <w:lastRenderedPageBreak/>
              <w:t>z</w:t>
            </w:r>
            <w:r w:rsidR="00D83564" w:rsidRPr="00CC235D">
              <w:rPr>
                <w:rFonts w:ascii="Arial" w:eastAsia="Times New Roman" w:hAnsi="Arial" w:cs="Arial"/>
                <w:bCs/>
                <w:sz w:val="24"/>
                <w:szCs w:val="24"/>
                <w:lang w:eastAsia="pl-PL"/>
              </w:rPr>
              <w:t>aświadczenia</w:t>
            </w:r>
            <w:r w:rsidR="009F2480" w:rsidRPr="00CC235D">
              <w:rPr>
                <w:rFonts w:ascii="Arial" w:eastAsia="Times New Roman" w:hAnsi="Arial" w:cs="Arial"/>
                <w:bCs/>
                <w:sz w:val="24"/>
                <w:szCs w:val="24"/>
                <w:lang w:eastAsia="pl-PL"/>
              </w:rPr>
              <w:t xml:space="preserve"> </w:t>
            </w:r>
            <w:r w:rsidR="00D83564" w:rsidRPr="00CC235D">
              <w:rPr>
                <w:rFonts w:ascii="Arial" w:eastAsia="Times New Roman" w:hAnsi="Arial" w:cs="Arial"/>
                <w:bCs/>
                <w:sz w:val="24"/>
                <w:szCs w:val="24"/>
                <w:lang w:eastAsia="pl-PL"/>
              </w:rPr>
              <w:t>/upraw</w:t>
            </w:r>
            <w:r w:rsidR="00D83564" w:rsidRPr="00CC235D">
              <w:rPr>
                <w:rFonts w:ascii="Arial" w:eastAsia="Times New Roman" w:hAnsi="Arial" w:cs="Arial"/>
                <w:bCs/>
                <w:sz w:val="24"/>
                <w:szCs w:val="24"/>
                <w:lang w:eastAsia="pl-PL"/>
              </w:rPr>
              <w:br/>
            </w:r>
            <w:proofErr w:type="spellStart"/>
            <w:r w:rsidR="00D83564" w:rsidRPr="00CC235D">
              <w:rPr>
                <w:rFonts w:ascii="Arial" w:eastAsia="Times New Roman" w:hAnsi="Arial" w:cs="Arial"/>
                <w:bCs/>
                <w:sz w:val="24"/>
                <w:szCs w:val="24"/>
                <w:lang w:eastAsia="pl-PL"/>
              </w:rPr>
              <w:t>nienia</w:t>
            </w:r>
            <w:proofErr w:type="spellEnd"/>
            <w:r w:rsidR="00D83564" w:rsidRPr="00CC235D">
              <w:rPr>
                <w:rFonts w:ascii="Arial" w:eastAsia="Times New Roman" w:hAnsi="Arial" w:cs="Arial"/>
                <w:bCs/>
                <w:sz w:val="24"/>
                <w:szCs w:val="24"/>
                <w:lang w:eastAsia="pl-PL"/>
              </w:rPr>
              <w:t>/certyfik</w:t>
            </w:r>
            <w:r w:rsidR="00D83564" w:rsidRPr="00CC235D">
              <w:rPr>
                <w:rFonts w:ascii="Arial" w:eastAsia="Times New Roman" w:hAnsi="Arial" w:cs="Arial"/>
                <w:bCs/>
                <w:sz w:val="24"/>
                <w:szCs w:val="24"/>
                <w:lang w:eastAsia="pl-PL"/>
              </w:rPr>
              <w:lastRenderedPageBreak/>
              <w:t xml:space="preserve">aty </w:t>
            </w:r>
          </w:p>
          <w:p w:rsidR="009F2480" w:rsidRPr="00CC235D" w:rsidRDefault="00D83564" w:rsidP="002B37B2">
            <w:pPr>
              <w:pStyle w:val="Akapitzlist"/>
              <w:numPr>
                <w:ilvl w:val="0"/>
                <w:numId w:val="3"/>
              </w:numPr>
              <w:tabs>
                <w:tab w:val="left" w:pos="241"/>
                <w:tab w:val="left" w:pos="3878"/>
              </w:tabs>
              <w:spacing w:before="100"/>
              <w:ind w:left="72" w:firstLine="0"/>
              <w:rPr>
                <w:rFonts w:ascii="Arial" w:eastAsia="Times New Roman" w:hAnsi="Arial" w:cs="Arial"/>
                <w:bCs/>
                <w:sz w:val="24"/>
                <w:szCs w:val="24"/>
                <w:lang w:eastAsia="pl-PL"/>
              </w:rPr>
            </w:pPr>
            <w:r w:rsidRPr="00CC235D">
              <w:rPr>
                <w:rFonts w:ascii="Arial" w:eastAsia="Times New Roman" w:hAnsi="Arial" w:cs="Arial"/>
                <w:bCs/>
                <w:sz w:val="24"/>
                <w:szCs w:val="24"/>
                <w:lang w:eastAsia="pl-PL"/>
              </w:rPr>
              <w:t xml:space="preserve">weryfikacja kodów </w:t>
            </w:r>
            <w:r w:rsidRPr="00CC235D">
              <w:rPr>
                <w:rFonts w:ascii="Arial" w:eastAsia="Times New Roman" w:hAnsi="Arial" w:cs="Arial"/>
                <w:bCs/>
                <w:sz w:val="24"/>
                <w:szCs w:val="24"/>
                <w:lang w:eastAsia="pl-PL"/>
              </w:rPr>
              <w:br/>
              <w:t xml:space="preserve">ZRK (kwalifikacja), 4 </w:t>
            </w:r>
            <w:r w:rsidRPr="00CC235D">
              <w:rPr>
                <w:rFonts w:ascii="Arial" w:eastAsia="Times New Roman" w:hAnsi="Arial" w:cs="Arial"/>
                <w:bCs/>
                <w:sz w:val="24"/>
                <w:szCs w:val="24"/>
                <w:lang w:eastAsia="pl-PL"/>
              </w:rPr>
              <w:br/>
              <w:t xml:space="preserve">etapów (kompetencji) </w:t>
            </w:r>
          </w:p>
          <w:p w:rsidR="003B2B92" w:rsidRPr="00CC235D" w:rsidRDefault="00D83564" w:rsidP="002B37B2">
            <w:pPr>
              <w:pStyle w:val="Akapitzlist"/>
              <w:numPr>
                <w:ilvl w:val="0"/>
                <w:numId w:val="3"/>
              </w:numPr>
              <w:tabs>
                <w:tab w:val="left" w:pos="241"/>
                <w:tab w:val="left" w:pos="3878"/>
              </w:tabs>
              <w:spacing w:before="100"/>
              <w:ind w:left="72" w:firstLine="0"/>
              <w:rPr>
                <w:rFonts w:ascii="Arial" w:eastAsia="Times New Roman" w:hAnsi="Arial" w:cs="Arial"/>
                <w:bCs/>
                <w:sz w:val="24"/>
                <w:szCs w:val="24"/>
                <w:lang w:eastAsia="pl-PL"/>
              </w:rPr>
            </w:pPr>
            <w:r w:rsidRPr="00CC235D">
              <w:rPr>
                <w:rFonts w:ascii="Arial" w:eastAsia="Times New Roman" w:hAnsi="Arial" w:cs="Arial"/>
                <w:bCs/>
                <w:sz w:val="24"/>
                <w:szCs w:val="24"/>
                <w:lang w:eastAsia="pl-PL"/>
              </w:rPr>
              <w:t xml:space="preserve">wypełniona ankieta w </w:t>
            </w:r>
            <w:r w:rsidRPr="00CC235D">
              <w:rPr>
                <w:rFonts w:ascii="Arial" w:eastAsia="Times New Roman" w:hAnsi="Arial" w:cs="Arial"/>
                <w:bCs/>
                <w:sz w:val="24"/>
                <w:szCs w:val="24"/>
                <w:lang w:eastAsia="pl-PL"/>
              </w:rPr>
              <w:br/>
              <w:t xml:space="preserve">Systemie Oceny </w:t>
            </w:r>
            <w:r w:rsidRPr="00CC235D">
              <w:rPr>
                <w:rFonts w:ascii="Arial" w:eastAsia="Times New Roman" w:hAnsi="Arial" w:cs="Arial"/>
                <w:bCs/>
                <w:sz w:val="24"/>
                <w:szCs w:val="24"/>
                <w:lang w:eastAsia="pl-PL"/>
              </w:rPr>
              <w:br/>
              <w:t xml:space="preserve">Usług Rozwojowych </w:t>
            </w:r>
            <w:r w:rsidRPr="00CC235D">
              <w:rPr>
                <w:rFonts w:ascii="Arial" w:eastAsia="Times New Roman" w:hAnsi="Arial" w:cs="Arial"/>
                <w:bCs/>
                <w:sz w:val="24"/>
                <w:szCs w:val="24"/>
                <w:lang w:eastAsia="pl-PL"/>
              </w:rPr>
              <w:br/>
            </w:r>
          </w:p>
        </w:tc>
      </w:tr>
      <w:tr w:rsidR="003B2B92" w:rsidRPr="00CC235D" w:rsidTr="002B37B2">
        <w:trPr>
          <w:trHeight w:val="8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B2B92" w:rsidRPr="00CC235D" w:rsidRDefault="003B2B92" w:rsidP="003B2B92">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lastRenderedPageBreak/>
              <w:t>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rsidR="00D83564" w:rsidRPr="00CC235D" w:rsidRDefault="00D83564" w:rsidP="00D83564">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PLDGCR04</w:t>
            </w:r>
            <w:r w:rsidRPr="00CC235D">
              <w:rPr>
                <w:rFonts w:ascii="Arial" w:eastAsiaTheme="minorHAnsi" w:hAnsi="Arial" w:cs="Arial"/>
                <w:sz w:val="24"/>
                <w:szCs w:val="24"/>
              </w:rPr>
              <w:t xml:space="preserve"> </w:t>
            </w:r>
            <w:r w:rsidRPr="00CC235D">
              <w:rPr>
                <w:rFonts w:ascii="Arial" w:eastAsia="Times New Roman" w:hAnsi="Arial" w:cs="Arial"/>
                <w:bCs/>
                <w:sz w:val="24"/>
                <w:szCs w:val="24"/>
                <w:lang w:eastAsia="pl-PL"/>
              </w:rPr>
              <w:t>Liczba osób, które uzyskały zielone kwalifikacje po opuszczeniu programu (osoby)</w:t>
            </w:r>
          </w:p>
          <w:p w:rsidR="003B2B92" w:rsidRPr="00CC235D" w:rsidRDefault="003B2B92" w:rsidP="003B2B92">
            <w:pPr>
              <w:tabs>
                <w:tab w:val="left" w:pos="3878"/>
              </w:tabs>
              <w:spacing w:before="100"/>
              <w:rPr>
                <w:rFonts w:ascii="Arial" w:eastAsia="Times New Roman" w:hAnsi="Arial" w:cs="Arial"/>
                <w:bCs/>
                <w:sz w:val="24"/>
                <w:szCs w:val="24"/>
                <w:lang w:eastAsia="pl-PL"/>
              </w:rPr>
            </w:pPr>
          </w:p>
        </w:tc>
        <w:tc>
          <w:tcPr>
            <w:tcW w:w="7437" w:type="dxa"/>
            <w:tcBorders>
              <w:top w:val="single" w:sz="4" w:space="0" w:color="auto"/>
              <w:left w:val="single" w:sz="4" w:space="0" w:color="auto"/>
              <w:bottom w:val="single" w:sz="4" w:space="0" w:color="auto"/>
              <w:right w:val="single" w:sz="4" w:space="0" w:color="auto"/>
            </w:tcBorders>
            <w:shd w:val="clear" w:color="auto" w:fill="auto"/>
            <w:vAlign w:val="center"/>
          </w:tcPr>
          <w:p w:rsidR="00D83564" w:rsidRPr="00CC235D" w:rsidRDefault="00D83564" w:rsidP="00D83564">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Wskaźnik mierzy liczbę osób, które w wyniku wsparcia EFS+ uzyskały zielone kwalifikacje lub nabyły zielone kompetencje.</w:t>
            </w:r>
          </w:p>
          <w:p w:rsidR="00D83564" w:rsidRPr="00CC235D" w:rsidRDefault="00D83564" w:rsidP="00D83564">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Definicja i sposób pomiaru jak we wskaźniku wspólnym: liczba osób, które uzyskały kwalifikacje po opuszczeniu programu (osoby) – z zastrzeżeniem, że we wskaźniku należy uwzględniać wyłącznie zielone kwalifikacje lub kompetencje.</w:t>
            </w:r>
          </w:p>
          <w:p w:rsidR="003B2B92" w:rsidRPr="00CC235D" w:rsidRDefault="00D83564" w:rsidP="00D83564">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Wskaźnik jest podrzędny w stosunku do wskaźnika EECR03.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35EA2" w:rsidRPr="00CC235D" w:rsidRDefault="00D35EA2" w:rsidP="00D35EA2">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Do wskaźnika należy wliczać jedynie osoby, które uzyskały zielone kwalifikacje /kompetencje w trakcie lub bezpośrednio po zakończeniu udziału w projekcie, tj. w ciągu czterech tygodni, które minęły od momentu zakończenia udziału w projekcie.</w:t>
            </w:r>
          </w:p>
          <w:p w:rsidR="003B2B92" w:rsidRPr="00CC235D" w:rsidRDefault="003B2B92" w:rsidP="003B2B92">
            <w:pPr>
              <w:tabs>
                <w:tab w:val="left" w:pos="3878"/>
              </w:tabs>
              <w:spacing w:before="100"/>
              <w:rPr>
                <w:rFonts w:ascii="Arial" w:eastAsia="Times New Roman" w:hAnsi="Arial" w:cs="Arial"/>
                <w:bCs/>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C7A65" w:rsidRPr="00CC235D" w:rsidRDefault="00D35EA2" w:rsidP="002B37B2">
            <w:pPr>
              <w:pStyle w:val="Akapitzlist"/>
              <w:numPr>
                <w:ilvl w:val="0"/>
                <w:numId w:val="4"/>
              </w:numPr>
              <w:tabs>
                <w:tab w:val="left" w:pos="214"/>
                <w:tab w:val="left" w:pos="3878"/>
              </w:tabs>
              <w:spacing w:before="100"/>
              <w:ind w:left="72" w:firstLine="0"/>
              <w:rPr>
                <w:rFonts w:ascii="Arial" w:eastAsia="Times New Roman" w:hAnsi="Arial" w:cs="Arial"/>
                <w:bCs/>
                <w:sz w:val="24"/>
                <w:szCs w:val="24"/>
                <w:lang w:eastAsia="pl-PL"/>
              </w:rPr>
            </w:pPr>
            <w:r w:rsidRPr="00CC235D">
              <w:rPr>
                <w:rFonts w:ascii="Arial" w:eastAsia="Times New Roman" w:hAnsi="Arial" w:cs="Arial"/>
                <w:bCs/>
                <w:sz w:val="24"/>
                <w:szCs w:val="24"/>
                <w:lang w:eastAsia="pl-PL"/>
              </w:rPr>
              <w:t>zaświadczenia/upraw</w:t>
            </w:r>
            <w:r w:rsidRPr="00CC235D">
              <w:rPr>
                <w:rFonts w:ascii="Arial" w:eastAsia="Times New Roman" w:hAnsi="Arial" w:cs="Arial"/>
                <w:bCs/>
                <w:sz w:val="24"/>
                <w:szCs w:val="24"/>
                <w:lang w:eastAsia="pl-PL"/>
              </w:rPr>
              <w:br/>
            </w:r>
            <w:proofErr w:type="spellStart"/>
            <w:r w:rsidRPr="00CC235D">
              <w:rPr>
                <w:rFonts w:ascii="Arial" w:eastAsia="Times New Roman" w:hAnsi="Arial" w:cs="Arial"/>
                <w:bCs/>
                <w:sz w:val="24"/>
                <w:szCs w:val="24"/>
                <w:lang w:eastAsia="pl-PL"/>
              </w:rPr>
              <w:t>nienia</w:t>
            </w:r>
            <w:proofErr w:type="spellEnd"/>
            <w:r w:rsidRPr="00CC235D">
              <w:rPr>
                <w:rFonts w:ascii="Arial" w:eastAsia="Times New Roman" w:hAnsi="Arial" w:cs="Arial"/>
                <w:bCs/>
                <w:sz w:val="24"/>
                <w:szCs w:val="24"/>
                <w:lang w:eastAsia="pl-PL"/>
              </w:rPr>
              <w:t xml:space="preserve">/certyfikaty </w:t>
            </w:r>
          </w:p>
          <w:p w:rsidR="00CC7A65" w:rsidRPr="00CC235D" w:rsidRDefault="00CC7A65" w:rsidP="002B37B2">
            <w:pPr>
              <w:pStyle w:val="Akapitzlist"/>
              <w:numPr>
                <w:ilvl w:val="0"/>
                <w:numId w:val="4"/>
              </w:numPr>
              <w:tabs>
                <w:tab w:val="left" w:pos="214"/>
                <w:tab w:val="left" w:pos="3878"/>
              </w:tabs>
              <w:spacing w:before="100"/>
              <w:ind w:left="72" w:firstLine="0"/>
              <w:rPr>
                <w:rFonts w:ascii="Arial" w:eastAsia="Times New Roman" w:hAnsi="Arial" w:cs="Arial"/>
                <w:bCs/>
                <w:sz w:val="24"/>
                <w:szCs w:val="24"/>
                <w:lang w:eastAsia="pl-PL"/>
              </w:rPr>
            </w:pPr>
            <w:r w:rsidRPr="00CC235D">
              <w:rPr>
                <w:rFonts w:ascii="Arial" w:eastAsia="Times New Roman" w:hAnsi="Arial" w:cs="Arial"/>
                <w:bCs/>
                <w:sz w:val="24"/>
                <w:szCs w:val="24"/>
                <w:lang w:eastAsia="pl-PL"/>
              </w:rPr>
              <w:t>w</w:t>
            </w:r>
            <w:r w:rsidR="00D35EA2" w:rsidRPr="00CC235D">
              <w:rPr>
                <w:rFonts w:ascii="Arial" w:eastAsia="Times New Roman" w:hAnsi="Arial" w:cs="Arial"/>
                <w:bCs/>
                <w:sz w:val="24"/>
                <w:szCs w:val="24"/>
                <w:lang w:eastAsia="pl-PL"/>
              </w:rPr>
              <w:t xml:space="preserve">eryfikacja kodów </w:t>
            </w:r>
            <w:r w:rsidR="00D35EA2" w:rsidRPr="00CC235D">
              <w:rPr>
                <w:rFonts w:ascii="Arial" w:eastAsia="Times New Roman" w:hAnsi="Arial" w:cs="Arial"/>
                <w:bCs/>
                <w:sz w:val="24"/>
                <w:szCs w:val="24"/>
                <w:lang w:eastAsia="pl-PL"/>
              </w:rPr>
              <w:br/>
              <w:t xml:space="preserve">ZRK (kwalifikacja), 4 </w:t>
            </w:r>
            <w:r w:rsidR="00D35EA2" w:rsidRPr="00CC235D">
              <w:rPr>
                <w:rFonts w:ascii="Arial" w:eastAsia="Times New Roman" w:hAnsi="Arial" w:cs="Arial"/>
                <w:bCs/>
                <w:sz w:val="24"/>
                <w:szCs w:val="24"/>
                <w:lang w:eastAsia="pl-PL"/>
              </w:rPr>
              <w:br/>
              <w:t xml:space="preserve">etapów (kompetencji) </w:t>
            </w:r>
          </w:p>
          <w:p w:rsidR="003B2B92" w:rsidRPr="00CC235D" w:rsidRDefault="00D35EA2" w:rsidP="002B37B2">
            <w:pPr>
              <w:pStyle w:val="Akapitzlist"/>
              <w:numPr>
                <w:ilvl w:val="0"/>
                <w:numId w:val="4"/>
              </w:numPr>
              <w:tabs>
                <w:tab w:val="left" w:pos="214"/>
                <w:tab w:val="left" w:pos="3878"/>
              </w:tabs>
              <w:spacing w:before="100"/>
              <w:ind w:left="72" w:firstLine="0"/>
              <w:rPr>
                <w:rFonts w:ascii="Arial" w:eastAsia="Times New Roman" w:hAnsi="Arial" w:cs="Arial"/>
                <w:bCs/>
                <w:sz w:val="24"/>
                <w:szCs w:val="24"/>
                <w:lang w:eastAsia="pl-PL"/>
              </w:rPr>
            </w:pPr>
            <w:r w:rsidRPr="00CC235D">
              <w:rPr>
                <w:rFonts w:ascii="Arial" w:eastAsia="Times New Roman" w:hAnsi="Arial" w:cs="Arial"/>
                <w:bCs/>
                <w:sz w:val="24"/>
                <w:szCs w:val="24"/>
                <w:lang w:eastAsia="pl-PL"/>
              </w:rPr>
              <w:t xml:space="preserve">wypełniona ankieta w </w:t>
            </w:r>
            <w:r w:rsidRPr="00CC235D">
              <w:rPr>
                <w:rFonts w:ascii="Arial" w:eastAsia="Times New Roman" w:hAnsi="Arial" w:cs="Arial"/>
                <w:bCs/>
                <w:sz w:val="24"/>
                <w:szCs w:val="24"/>
                <w:lang w:eastAsia="pl-PL"/>
              </w:rPr>
              <w:br/>
              <w:t xml:space="preserve">Systemie Oceny </w:t>
            </w:r>
            <w:r w:rsidRPr="00CC235D">
              <w:rPr>
                <w:rFonts w:ascii="Arial" w:eastAsia="Times New Roman" w:hAnsi="Arial" w:cs="Arial"/>
                <w:bCs/>
                <w:sz w:val="24"/>
                <w:szCs w:val="24"/>
                <w:lang w:eastAsia="pl-PL"/>
              </w:rPr>
              <w:br/>
              <w:t xml:space="preserve">Usług Rozwojowych </w:t>
            </w:r>
            <w:r w:rsidRPr="00CC235D">
              <w:rPr>
                <w:rFonts w:ascii="Arial" w:eastAsia="Times New Roman" w:hAnsi="Arial" w:cs="Arial"/>
                <w:bCs/>
                <w:sz w:val="24"/>
                <w:szCs w:val="24"/>
                <w:lang w:eastAsia="pl-PL"/>
              </w:rPr>
              <w:br/>
            </w:r>
          </w:p>
        </w:tc>
      </w:tr>
    </w:tbl>
    <w:p w:rsidR="00C66872" w:rsidRPr="00CC235D" w:rsidRDefault="00C66872" w:rsidP="00C66872">
      <w:pPr>
        <w:rPr>
          <w:rFonts w:ascii="Arial" w:hAnsi="Arial" w:cs="Arial"/>
          <w:sz w:val="24"/>
          <w:szCs w:val="24"/>
        </w:rPr>
      </w:pPr>
    </w:p>
    <w:p w:rsidR="00142EBD" w:rsidRPr="00CC235D" w:rsidRDefault="00142EBD" w:rsidP="00C66872">
      <w:pPr>
        <w:rPr>
          <w:rFonts w:ascii="Arial" w:hAnsi="Arial" w:cs="Arial"/>
          <w:sz w:val="24"/>
          <w:szCs w:val="24"/>
        </w:rPr>
      </w:pPr>
    </w:p>
    <w:p w:rsidR="00142EBD" w:rsidRPr="00CC235D" w:rsidRDefault="00142EBD" w:rsidP="00C66872">
      <w:pPr>
        <w:rPr>
          <w:rFonts w:ascii="Arial" w:hAnsi="Arial" w:cs="Arial"/>
          <w:sz w:val="24"/>
          <w:szCs w:val="24"/>
        </w:rPr>
      </w:pPr>
    </w:p>
    <w:p w:rsidR="00142EBD" w:rsidRPr="00CC235D" w:rsidRDefault="00142EBD" w:rsidP="00C66872">
      <w:pPr>
        <w:rPr>
          <w:rFonts w:ascii="Arial" w:eastAsia="Times New Roman" w:hAnsi="Arial" w:cs="Arial"/>
          <w:sz w:val="24"/>
          <w:szCs w:val="24"/>
          <w:lang w:eastAsia="pl-PL"/>
        </w:rPr>
      </w:pPr>
      <w:r w:rsidRPr="00CC235D">
        <w:rPr>
          <w:rFonts w:ascii="Arial" w:eastAsia="Times New Roman" w:hAnsi="Arial" w:cs="Arial"/>
          <w:sz w:val="24"/>
          <w:szCs w:val="24"/>
          <w:lang w:eastAsia="pl-PL"/>
        </w:rPr>
        <w:t>Inne wspólne wskaźniki produktu mierzone we wszystkich celach szczegółowych.</w:t>
      </w:r>
    </w:p>
    <w:p w:rsidR="00142EBD" w:rsidRPr="00CC235D" w:rsidRDefault="00142EBD" w:rsidP="00C66872">
      <w:pPr>
        <w:rPr>
          <w:rFonts w:ascii="Arial" w:eastAsia="Times New Roman" w:hAnsi="Arial" w:cs="Arial"/>
          <w:sz w:val="24"/>
          <w:szCs w:val="24"/>
          <w:lang w:eastAsia="pl-PL"/>
        </w:rPr>
      </w:pPr>
    </w:p>
    <w:tbl>
      <w:tblPr>
        <w:tblW w:w="14034" w:type="dxa"/>
        <w:tblInd w:w="-289" w:type="dxa"/>
        <w:tblLayout w:type="fixed"/>
        <w:tblCellMar>
          <w:left w:w="70" w:type="dxa"/>
          <w:right w:w="70" w:type="dxa"/>
        </w:tblCellMar>
        <w:tblLook w:val="00A0" w:firstRow="1" w:lastRow="0" w:firstColumn="1" w:lastColumn="0" w:noHBand="0" w:noVBand="0"/>
      </w:tblPr>
      <w:tblGrid>
        <w:gridCol w:w="568"/>
        <w:gridCol w:w="2485"/>
        <w:gridCol w:w="5311"/>
        <w:gridCol w:w="1984"/>
        <w:gridCol w:w="3686"/>
      </w:tblGrid>
      <w:tr w:rsidR="00142EBD" w:rsidRPr="00CC235D" w:rsidTr="002B37B2">
        <w:trPr>
          <w:trHeight w:val="143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
                <w:bCs/>
                <w:sz w:val="24"/>
                <w:szCs w:val="24"/>
                <w:lang w:eastAsia="pl-PL"/>
              </w:rPr>
            </w:pPr>
            <w:r w:rsidRPr="00CC235D">
              <w:rPr>
                <w:rFonts w:ascii="Arial" w:eastAsia="Times New Roman" w:hAnsi="Arial" w:cs="Arial"/>
                <w:b/>
                <w:bCs/>
                <w:sz w:val="24"/>
                <w:szCs w:val="24"/>
                <w:lang w:eastAsia="pl-PL"/>
              </w:rPr>
              <w:lastRenderedPageBreak/>
              <w:t>Lp.</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
                <w:bCs/>
                <w:sz w:val="24"/>
                <w:szCs w:val="24"/>
                <w:lang w:eastAsia="pl-PL"/>
              </w:rPr>
            </w:pPr>
            <w:r w:rsidRPr="00CC235D">
              <w:rPr>
                <w:rFonts w:ascii="Arial" w:eastAsia="Times New Roman" w:hAnsi="Arial" w:cs="Arial"/>
                <w:b/>
                <w:bCs/>
                <w:sz w:val="24"/>
                <w:szCs w:val="24"/>
                <w:lang w:eastAsia="pl-PL"/>
              </w:rPr>
              <w:t>Nazwa wskaźnika/</w:t>
            </w:r>
            <w:r w:rsidRPr="00CC235D">
              <w:rPr>
                <w:rFonts w:ascii="Arial" w:eastAsia="Times New Roman" w:hAnsi="Arial" w:cs="Arial"/>
                <w:b/>
                <w:bCs/>
                <w:sz w:val="24"/>
                <w:szCs w:val="24"/>
                <w:lang w:eastAsia="pl-PL"/>
              </w:rPr>
              <w:br/>
              <w:t>jednostka miary</w:t>
            </w:r>
          </w:p>
        </w:tc>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
                <w:bCs/>
                <w:sz w:val="24"/>
                <w:szCs w:val="24"/>
                <w:lang w:eastAsia="pl-PL"/>
              </w:rPr>
            </w:pPr>
            <w:r w:rsidRPr="00CC235D">
              <w:rPr>
                <w:rFonts w:ascii="Arial" w:eastAsia="Times New Roman" w:hAnsi="Arial" w:cs="Arial"/>
                <w:b/>
                <w:bCs/>
                <w:sz w:val="24"/>
                <w:szCs w:val="24"/>
                <w:lang w:eastAsia="pl-PL"/>
              </w:rPr>
              <w:t>Definicja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
                <w:bCs/>
                <w:sz w:val="24"/>
                <w:szCs w:val="24"/>
                <w:lang w:eastAsia="pl-PL"/>
              </w:rPr>
            </w:pPr>
            <w:r w:rsidRPr="00CC235D">
              <w:rPr>
                <w:rFonts w:ascii="Arial" w:eastAsia="Times New Roman" w:hAnsi="Arial" w:cs="Arial"/>
                <w:b/>
                <w:bCs/>
                <w:sz w:val="24"/>
                <w:szCs w:val="24"/>
                <w:lang w:eastAsia="pl-PL"/>
              </w:rPr>
              <w:t>Termin pomiaru wskaźnika</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
                <w:bCs/>
                <w:sz w:val="24"/>
                <w:szCs w:val="24"/>
                <w:lang w:eastAsia="pl-PL"/>
              </w:rPr>
            </w:pPr>
            <w:r w:rsidRPr="00CC235D">
              <w:rPr>
                <w:rFonts w:ascii="Arial" w:eastAsia="Times New Roman" w:hAnsi="Arial" w:cs="Arial"/>
                <w:b/>
                <w:bCs/>
                <w:sz w:val="24"/>
                <w:szCs w:val="24"/>
                <w:lang w:eastAsia="pl-PL"/>
              </w:rPr>
              <w:t xml:space="preserve">Sposób i </w:t>
            </w:r>
            <w:r w:rsidR="00A20AAE">
              <w:rPr>
                <w:rFonts w:ascii="Arial" w:eastAsia="Times New Roman" w:hAnsi="Arial" w:cs="Arial"/>
                <w:b/>
                <w:bCs/>
                <w:sz w:val="24"/>
                <w:szCs w:val="24"/>
                <w:lang w:eastAsia="pl-PL"/>
              </w:rPr>
              <w:t xml:space="preserve">przykładowe </w:t>
            </w:r>
            <w:bookmarkStart w:id="0" w:name="_GoBack"/>
            <w:bookmarkEnd w:id="0"/>
            <w:r w:rsidRPr="00CC235D">
              <w:rPr>
                <w:rFonts w:ascii="Arial" w:eastAsia="Times New Roman" w:hAnsi="Arial" w:cs="Arial"/>
                <w:b/>
                <w:bCs/>
                <w:sz w:val="24"/>
                <w:szCs w:val="24"/>
                <w:lang w:eastAsia="pl-PL"/>
              </w:rPr>
              <w:t>źródła  pomiaru wskaźnika</w:t>
            </w:r>
          </w:p>
        </w:tc>
      </w:tr>
      <w:tr w:rsidR="00142EBD" w:rsidRPr="00CC235D" w:rsidTr="002B37B2">
        <w:trPr>
          <w:trHeight w:val="8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PL0CO01 Liczba projektów, w których sfinansowana koszty racjonalnych usprawnień dla osób z niepełnosprawnościami</w:t>
            </w:r>
            <w:r w:rsidR="00CD5800">
              <w:rPr>
                <w:rFonts w:ascii="Arial" w:eastAsia="Times New Roman" w:hAnsi="Arial" w:cs="Arial"/>
                <w:bCs/>
                <w:sz w:val="24"/>
                <w:szCs w:val="24"/>
                <w:lang w:eastAsia="pl-PL"/>
              </w:rPr>
              <w:t xml:space="preserve"> </w:t>
            </w:r>
            <w:r w:rsidR="00CD5800" w:rsidRPr="00CD5800">
              <w:rPr>
                <w:rFonts w:ascii="Arial" w:eastAsia="Times New Roman" w:hAnsi="Arial" w:cs="Arial"/>
                <w:bCs/>
                <w:sz w:val="24"/>
                <w:szCs w:val="24"/>
                <w:lang w:eastAsia="pl-PL"/>
              </w:rPr>
              <w:t>(sztuki)</w:t>
            </w:r>
          </w:p>
        </w:tc>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Wskaźnik mierzony w momencie rozliczenia wydatku związanego z racjonalnymi usprawnieniami w ramach danego projektu.</w:t>
            </w:r>
          </w:p>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 xml:space="preserve">Do wskaźnika powinny zostać wliczone zarówno projekty ogólnodostępne, w których sfinansowano koszty racjonalnych usprawnień, jak i dedykowane (zgodnie z kategoryzacją projektów z Wytycznych w zakresie realizacji </w:t>
            </w:r>
            <w:r w:rsidRPr="00CC235D">
              <w:rPr>
                <w:rFonts w:ascii="Arial" w:eastAsia="Times New Roman" w:hAnsi="Arial" w:cs="Arial"/>
                <w:bCs/>
                <w:sz w:val="24"/>
                <w:szCs w:val="24"/>
                <w:lang w:eastAsia="pl-PL"/>
              </w:rPr>
              <w:lastRenderedPageBreak/>
              <w:t>zasad równościowych w ramach funduszy unijnych na lata 2021-2027).</w:t>
            </w:r>
          </w:p>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Definicja na podstawie: Wytyczne w zakresie realizacji zasad równościowych w ramach funduszy unijnych na lata 2021-2027.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lastRenderedPageBreak/>
              <w:t>Wskaźnik mierzony w momencie rozliczenia wydatku związanego z racjonalnymi usprawnieniami w ramach danego projektu.</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Dokument księgowy potwierdzający poniesienie wydatków, np. faktura Vat, rachunek wraz z protokołem odbioru i wpisem do ewidencji środków trwałych (jeśli dotyczy)</w:t>
            </w:r>
          </w:p>
        </w:tc>
      </w:tr>
      <w:tr w:rsidR="00142EBD" w:rsidRPr="00CC235D" w:rsidTr="002B37B2">
        <w:trPr>
          <w:trHeight w:val="8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PL0CO02 Liczba obiektów dostosowanych do potrzeb osób z niepełnosprawnościami</w:t>
            </w:r>
            <w:r w:rsidR="00CD5800">
              <w:rPr>
                <w:rFonts w:ascii="Arial" w:eastAsia="Times New Roman" w:hAnsi="Arial" w:cs="Arial"/>
                <w:bCs/>
                <w:sz w:val="24"/>
                <w:szCs w:val="24"/>
                <w:lang w:eastAsia="pl-PL"/>
              </w:rPr>
              <w:t xml:space="preserve"> </w:t>
            </w:r>
            <w:r w:rsidR="00CD5800" w:rsidRPr="00CD5800">
              <w:rPr>
                <w:rFonts w:ascii="Arial" w:eastAsia="Times New Roman" w:hAnsi="Arial" w:cs="Arial"/>
                <w:bCs/>
                <w:sz w:val="24"/>
                <w:szCs w:val="24"/>
                <w:lang w:eastAsia="pl-PL"/>
              </w:rPr>
              <w:t>(sztuki)</w:t>
            </w:r>
          </w:p>
        </w:tc>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p>
          <w:p w:rsidR="00142EBD" w:rsidRPr="00CC235D" w:rsidRDefault="00142EBD" w:rsidP="002142F7">
            <w:pPr>
              <w:tabs>
                <w:tab w:val="left" w:pos="3878"/>
              </w:tabs>
              <w:spacing w:before="100"/>
              <w:rPr>
                <w:rFonts w:ascii="Arial" w:eastAsia="Times New Roman" w:hAnsi="Arial" w:cs="Arial"/>
                <w:bCs/>
                <w:sz w:val="24"/>
                <w:szCs w:val="24"/>
                <w:lang w:eastAsia="pl-PL"/>
              </w:rPr>
            </w:pPr>
          </w:p>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Jako obiekty należy rozumieć konstrukcje połączone z gruntem w sposób trwały, wykonane z materiałów budowlanych i elementów składowych, będące wynikiem prac budowlanych (wg. def. PKOB).</w:t>
            </w:r>
          </w:p>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 xml:space="preserve">Należy podać liczbę obiektów, a nie sprzętów, </w:t>
            </w:r>
            <w:r w:rsidRPr="00CC235D">
              <w:rPr>
                <w:rFonts w:ascii="Arial" w:eastAsia="Times New Roman" w:hAnsi="Arial" w:cs="Arial"/>
                <w:bCs/>
                <w:sz w:val="24"/>
                <w:szCs w:val="24"/>
                <w:lang w:eastAsia="pl-PL"/>
              </w:rPr>
              <w:lastRenderedPageBreak/>
              <w:t xml:space="preserve">urządzeń itp., w które obiekty zaopatrzono. Jeśli instytucja, zakład itp. składa się z kilku obiektów, należy zliczyć wszystkie, które dostosowano do potrzeb osób z niepełnosprawnościami. </w:t>
            </w:r>
          </w:p>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Wskaźnik mierzony w momencie rozliczenia wydatku związanego z wyposażeniem obiektów w rozwiązania służące osobom z niepełnosprawnościami w ramach danego projektu.</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lastRenderedPageBreak/>
              <w:t>Wskaźnik mierzony w momencie rozliczenia wydatku związanego z wyposażeniem obiektów w rozwiązania służące osobom z niepełnosprawnościami w ramach danego projektu.</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Dokument księgowy potwierdzający poniesienie wydatków, np. faktura Vat, rachunek wraz z protokołem odbioru i wpisem do ewidencji środków trwałych (jeśli dotyczy)</w:t>
            </w:r>
          </w:p>
        </w:tc>
      </w:tr>
      <w:tr w:rsidR="00142EBD" w:rsidRPr="00CC235D" w:rsidTr="002B37B2">
        <w:trPr>
          <w:trHeight w:val="8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EECO12 Liczba osób z niepełnosprawnościami objętych wsparciem w programie (osoby)</w:t>
            </w:r>
          </w:p>
        </w:tc>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Przynależność do grupy osób z niepełnosprawnościami określana jest w momencie rozpoczęcia udziału w projekcie, tj. w chwili rozpoczęcia udziału w pierwszej formie wsparcia w projekcie.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Pomiar w momencie rozpoczęcia udziału w projekcie, rozumianym co do zasady jako przystąpienie do pierwszej formy wsparcia w ramach projektu. Pomiar wskaźnika dokonywany jest sukcesywnie w trakcie realizacji projektu np. nie rzadziej niż raz na kwartał.</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 xml:space="preserve">Warunkiem koniecznym do rozpoczęcia udziału w projekcie jest podanie przez uczestnika danych osobowych w zakresie wskazanym przez Wytyczne dotyczące monitorowania postępu rzeczowego realizacji programów na lata 2021-2027. </w:t>
            </w:r>
          </w:p>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Źródłem weryfikacji wskaźnika są kompletne i poprawnie wypełnione dokumenty rekrutacyjne uczestników oraz dokumenty potwierdzające przystąpienie do pierwszej formy wsparcia np.: umowy uczestnictwa, deklaracje uczestnictwa, listy obecności, dzienniki zajęć, dokument potwierdzający przynależność do grupy osób z niepełnosprawnościami</w:t>
            </w:r>
          </w:p>
        </w:tc>
      </w:tr>
      <w:tr w:rsidR="00142EBD" w:rsidRPr="00CC235D" w:rsidTr="002B37B2">
        <w:trPr>
          <w:trHeight w:val="8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lastRenderedPageBreak/>
              <w:t>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EECO13 Liczba osób z krajów trzecich objętych wsparciem w programie (osoby)</w:t>
            </w:r>
          </w:p>
        </w:tc>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 xml:space="preserve">Osoby, które są obywatelami krajów spoza UE. Do wskaźnika wlicza się też bezpaństwowców zgodnie z Konwencją o statusie bezpaństwowców z 1954 r. i osoby bez ustalonego obywatelstwa. </w:t>
            </w:r>
          </w:p>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Przynależność do grupy osób z krajów trzecich określana jest w momencie rozpoczęcia udziału w projekcie, tj. w chwili rozpoczęcia udziału w pierwszej formie wsparcia w projekcie.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Pomiar w momencie rozpoczęcia udziału w projekcie, rozumianym co do zasady jako przystąpienie do pierwszej formy wsparcia w ramach projektu. Pomiar wskaźnika dokonywany jest sukcesywnie w trakcie realizacji projektu np. nie rzadziej niż raz na kwartał.</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 xml:space="preserve">Warunkiem koniecznym do rozpoczęcia udziału w projekcie jest podanie przez uczestnika danych osobowych w zakresie wskazanym przez Wytyczne dotyczące monitorowania postępu rzeczowego realizacji programów na lata 2021-2027. </w:t>
            </w:r>
          </w:p>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Źródłem weryfikacji wskaźnika są kompletne i poprawnie wypełnione dokumenty rekrutacyjne uczestników oraz dokumenty potwierdzające przystąpienie do pierwszej formy wsparcia np.: umowy uczestnictwa, deklaracje uczestnictwa, listy obecności, dzienniki zajęć, dokument potwierdzający przynależność do grupy osób z krajów trzecich</w:t>
            </w:r>
          </w:p>
        </w:tc>
      </w:tr>
      <w:tr w:rsidR="00142EBD" w:rsidRPr="00CC235D" w:rsidTr="002B37B2">
        <w:trPr>
          <w:trHeight w:val="8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5</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EECO14 Liczba osób obcego pochodzenia objętych wsparciem w programie (osoby)</w:t>
            </w:r>
          </w:p>
        </w:tc>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 xml:space="preserve">Osoby obcego pochodzenia to cudzoziemcy - każda osoba, która nie posiada polskiego obywatelstwa, bez względu na fakt posiadania lub nie obywatelstwa (obywatelstw) innych krajów. </w:t>
            </w:r>
          </w:p>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Wskaźnik nie obejmuje osób należących do mniejszości, których udział w projektach monitorowany jest wskaźnikiem liczba osób należących do mniejszości, w tym społeczności marginalizowanych takich jak Romowie, objętych wsparciem w programie.</w:t>
            </w:r>
          </w:p>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lastRenderedPageBreak/>
              <w:t>Przynależność do grupy osób obcego pochodzenia określana jest w momencie rozpoczęcia udziału w projekcie, tj. w chwili rozpoczęcia udziału w pierwszej formie wsparcia w projekcie.</w:t>
            </w:r>
          </w:p>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Wskaźnik będzie obejmował zawsze osoby z krajów trzecich, zliczane we wskaźniku liczba osób z krajów trzecich objętych wsparciem w programie.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lastRenderedPageBreak/>
              <w:t xml:space="preserve">Pomiar w momencie rozpoczęcia udziału w projekcie, rozumianym co do zasady jako przystąpienie do pierwszej formy wsparcia w ramach projektu. </w:t>
            </w:r>
            <w:r w:rsidRPr="00CC235D">
              <w:rPr>
                <w:rFonts w:ascii="Arial" w:eastAsia="Times New Roman" w:hAnsi="Arial" w:cs="Arial"/>
                <w:bCs/>
                <w:sz w:val="24"/>
                <w:szCs w:val="24"/>
                <w:lang w:eastAsia="pl-PL"/>
              </w:rPr>
              <w:lastRenderedPageBreak/>
              <w:t>Pomiar wskaźnika dokonywany jest sukcesywnie w trakcie realizacji projektu np. nie rzadziej niż raz na kwartał.</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lastRenderedPageBreak/>
              <w:t xml:space="preserve">Warunkiem koniecznym do rozpoczęcia udziału w projekcie jest podanie przez uczestnika danych osobowych w zakresie wskazanym przez Wytyczne dotyczące monitorowania postępu rzeczowego realizacji programów na lata 2021-2027. </w:t>
            </w:r>
          </w:p>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 xml:space="preserve">Źródłem weryfikacji wskaźnika są kompletne i poprawnie wypełnione dokumenty </w:t>
            </w:r>
            <w:r w:rsidRPr="00CC235D">
              <w:rPr>
                <w:rFonts w:ascii="Arial" w:eastAsia="Times New Roman" w:hAnsi="Arial" w:cs="Arial"/>
                <w:bCs/>
                <w:sz w:val="24"/>
                <w:szCs w:val="24"/>
                <w:lang w:eastAsia="pl-PL"/>
              </w:rPr>
              <w:lastRenderedPageBreak/>
              <w:t>rekrutacyjne uczestników oraz dokumenty potwierdzające przystąpienie do pierwszej formy wsparcia np.: umowy uczestnictwa, deklaracje uczestnictwa, listy obecności, dzienniki zajęć, dokument potwierdzający przynależność do grupy osób obcego pochodzenia</w:t>
            </w:r>
          </w:p>
        </w:tc>
      </w:tr>
      <w:tr w:rsidR="00142EBD" w:rsidRPr="00CC235D" w:rsidTr="002B37B2">
        <w:trPr>
          <w:trHeight w:val="8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lastRenderedPageBreak/>
              <w:t>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EECO15 Liczba osób należących do mniejszości, w tym społeczności marginalizowanych takich jak Romowie, objętych wsparciem w programie (osoby)</w:t>
            </w:r>
          </w:p>
        </w:tc>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Wskaźnik obejmuje osoby należące do mniejszości narodowych i etnicznych biorące udział w projektach EFS+.</w:t>
            </w:r>
          </w:p>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Zgodnie z prawem krajowym mniejszości narodowe to mniejszość: białoruska, czeska, litewska, niemiecka, ormiańska, rosyjska, słowacka, ukraińska, żydowska. Mniejszości etniczne: karaimska, łemkowska, romska, tatarska.</w:t>
            </w:r>
          </w:p>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Definicja opracowana na podstawie ustawy z dnia 6 stycznia 2005 r. o mniejszościach narodowych i etnicznych oraz o języku regionalnym.</w:t>
            </w:r>
          </w:p>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Przynależność do grupy osób należących do mniejszości określana jest w momencie rozpoczęcia udziału w projekcie, tj. w chwili rozpoczęcia udziału w pierwszej formie wsparcia w projekcie.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Pomiar w momencie rozpoczęcia udziału w projekcie, rozumianym co do zasady jako przystąpienie do pierwszej formy wsparcia w ramach projektu. Pomiar wskaźnika dokonywany jest sukcesywnie w trakcie realizacji projektu np. nie rzadziej niż raz na kwartał.</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 xml:space="preserve">Warunkiem koniecznym do rozpoczęcia udziału w projekcie jest podanie przez uczestnika danych osobowych w zakresie wskazanym przez Wytyczne dotyczące monitorowania postępu rzeczowego realizacji programów na lata 2021-2027. </w:t>
            </w:r>
          </w:p>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Źródłem weryfikacji wskaźnika są kompletne i poprawnie wypełnione dokumenty rekrutacyjne uczestników oraz dokumenty potwierdzające przystąpienie do pierwszej formy wsparcia np.: umowy uczestnictwa, deklaracje uczestnictwa, listy obecności, dzienniki zajęć, dokument potwierdzający przynależność do grupy osób należących do mniejszości</w:t>
            </w:r>
          </w:p>
        </w:tc>
      </w:tr>
      <w:tr w:rsidR="00142EBD" w:rsidRPr="00CC235D" w:rsidTr="002B37B2">
        <w:trPr>
          <w:trHeight w:val="8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lastRenderedPageBreak/>
              <w:t>7</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EECO16 Liczba osób w kryzysie bezdomności lub dotkniętych wykluczeniem z dostępu do mieszkań, objętych wsparciem w programie (osoby)</w:t>
            </w:r>
          </w:p>
        </w:tc>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We wskaźniku wykazywane są osoby w kryzysie bezdomności lub dotknięte wykluczeniem z dostępu do mieszkań.</w:t>
            </w:r>
          </w:p>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 xml:space="preserve">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 </w:t>
            </w:r>
          </w:p>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1.Bez dachu nad głową, w tym osoby żyjące w przestrzeni publicznej lub zakwaterowane interwencyjnie;</w:t>
            </w:r>
          </w:p>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 xml:space="preserve">2.Bez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3.Niezabezpieczone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lastRenderedPageBreak/>
              <w:t xml:space="preserve">4.Nieodpowiednie warunki mieszkaniowe, w tym osoby zamieszkujące konstrukcje tymczasowe/nietrwałe, mieszkania </w:t>
            </w:r>
            <w:proofErr w:type="spellStart"/>
            <w:r w:rsidRPr="00CC235D">
              <w:rPr>
                <w:rFonts w:ascii="Arial" w:eastAsia="Times New Roman" w:hAnsi="Arial" w:cs="Arial"/>
                <w:bCs/>
                <w:sz w:val="24"/>
                <w:szCs w:val="24"/>
                <w:lang w:eastAsia="pl-PL"/>
              </w:rPr>
              <w:t>substandardowe</w:t>
            </w:r>
            <w:proofErr w:type="spellEnd"/>
            <w:r w:rsidRPr="00CC235D">
              <w:rPr>
                <w:rFonts w:ascii="Arial" w:eastAsia="Times New Roman" w:hAnsi="Arial" w:cs="Arial"/>
                <w:bCs/>
                <w:sz w:val="24"/>
                <w:szCs w:val="24"/>
                <w:lang w:eastAsia="pl-PL"/>
              </w:rPr>
              <w:t xml:space="preserve"> - lokale nienadające się do zamieszkania wg standardu krajowego, w warunkach skrajnego przeludnienia;</w:t>
            </w:r>
          </w:p>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5.Osoby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Osoby dorosłe mieszkające z rodzicami nie powinny być wykazywane we wskaźniku, chyba że wszystkie te osoby są w kryzysie bezdomności lub mieszkają w nieodpowiednich i niebezpiecznych warunkach.</w:t>
            </w:r>
          </w:p>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Przynależność do grupy osób w kryzysie bezdomności lub dotkniętych wykluczeniem z dostępu do mieszkań określana jest w momencie rozpoczęcia udziału w projekcie, tj. w chwili rozpoczęcia udziału w pierwszej formie wsparcia w projekcie.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lastRenderedPageBreak/>
              <w:t>Pomiar w momencie rozpoczęcia udziału w projekcie, rozumianym co do zasady jako przystąpienie do pierwszej formy wsparcia w ramach projektu. Pomiar wskaźnika dokonywany jest sukcesywnie w trakcie realizacji projektu np. nie rzadziej niż raz na kwartał.</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 xml:space="preserve">Warunkiem koniecznym do rozpoczęcia udziału w projekcie jest podanie przez uczestnika danych osobowych w zakresie wskazanym przez Wytyczne dotyczące monitorowania postępu rzeczowego realizacji programów na lata 2021-2027. </w:t>
            </w:r>
          </w:p>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Źródłem weryfikacji wskaźnika są kompletne i poprawnie wypełnione dokumenty rekrutacyjne uczestników oraz dokumenty potwierdzające przystąpienie do pierwszej formy wsparcia np.: umowy uczestnictwa, deklaracje uczestnictwa, listy obecności, dzienniki zajęć, dokument potwierdzający przynależność do grupy osób w kryzysie bezdomności lub dotkniętych wykluczeniem z dostępu do mieszkań</w:t>
            </w:r>
          </w:p>
        </w:tc>
      </w:tr>
      <w:tr w:rsidR="00142EBD" w:rsidRPr="00CC235D" w:rsidTr="002B37B2">
        <w:trPr>
          <w:trHeight w:val="8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8</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 xml:space="preserve">EECO18 Liczba objętych wsparciem podmiotów administracji publicznej lub służb </w:t>
            </w:r>
            <w:r w:rsidRPr="00CC235D">
              <w:rPr>
                <w:rFonts w:ascii="Arial" w:eastAsia="Times New Roman" w:hAnsi="Arial" w:cs="Arial"/>
                <w:bCs/>
                <w:sz w:val="24"/>
                <w:szCs w:val="24"/>
                <w:lang w:eastAsia="pl-PL"/>
              </w:rPr>
              <w:lastRenderedPageBreak/>
              <w:t>publicznych na szczeblu krajowym, regionalnym lub lokalnym (podmioty)</w:t>
            </w:r>
          </w:p>
        </w:tc>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lastRenderedPageBreak/>
              <w:t xml:space="preserve">Za służby publiczne uznaje się publiczne lub prywatne podmioty, które świadczą usługi publiczne (w przypadku usług publicznych zlecanych przez państwo podmiotom prywatnym lub świadczonych w ramach partnerstwa </w:t>
            </w:r>
            <w:r w:rsidRPr="00CC235D">
              <w:rPr>
                <w:rFonts w:ascii="Arial" w:eastAsia="Times New Roman" w:hAnsi="Arial" w:cs="Arial"/>
                <w:bCs/>
                <w:sz w:val="24"/>
                <w:szCs w:val="24"/>
                <w:lang w:eastAsia="pl-PL"/>
              </w:rPr>
              <w:lastRenderedPageBreak/>
              <w:t>publiczno-prywatnego).</w:t>
            </w:r>
          </w:p>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Przez administrację publiczną rozumie się: 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 realizację  ogólnego planowania gospodarczego i społecznego oraz usług statystycznych na różnych szczeblach rządzenia.</w:t>
            </w:r>
          </w:p>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Informacje dotyczące podmiotów objętych wsparciem powinny pochodzić z dokumentów administracyjnych np. z umów o dofinansowanie.</w:t>
            </w:r>
          </w:p>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Do wskaźnika wliczane są tylko te podmioty, dla których można wyróżnić wydatki (nie dotyczy pomocy technicznej).</w:t>
            </w:r>
          </w:p>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Podmiot jest wliczany do wskaźnika w momencie rozpoczęcia udziału w projekcie.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lastRenderedPageBreak/>
              <w:t xml:space="preserve">Wskaźnik mierzony w momencie rozpoczęcia udziału podmiotu </w:t>
            </w:r>
            <w:r w:rsidRPr="00CC235D">
              <w:rPr>
                <w:rFonts w:ascii="Arial" w:eastAsia="Times New Roman" w:hAnsi="Arial" w:cs="Arial"/>
                <w:bCs/>
                <w:sz w:val="24"/>
                <w:szCs w:val="24"/>
                <w:lang w:eastAsia="pl-PL"/>
              </w:rPr>
              <w:lastRenderedPageBreak/>
              <w:t>w projekcie</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2C3296" w:rsidRDefault="00142EBD" w:rsidP="002C3296">
            <w:pPr>
              <w:widowControl/>
              <w:tabs>
                <w:tab w:val="left" w:pos="3878"/>
              </w:tabs>
              <w:autoSpaceDE/>
              <w:autoSpaceDN/>
              <w:spacing w:before="100" w:after="200"/>
              <w:contextualSpacing/>
              <w:rPr>
                <w:rFonts w:ascii="Arial" w:eastAsia="Times New Roman" w:hAnsi="Arial" w:cs="Arial"/>
                <w:bCs/>
                <w:sz w:val="24"/>
                <w:szCs w:val="24"/>
                <w:lang w:eastAsia="pl-PL"/>
              </w:rPr>
            </w:pPr>
            <w:r w:rsidRPr="002C3296">
              <w:rPr>
                <w:rFonts w:ascii="Arial" w:eastAsia="Times New Roman" w:hAnsi="Arial" w:cs="Arial"/>
                <w:bCs/>
                <w:sz w:val="24"/>
                <w:szCs w:val="24"/>
                <w:lang w:eastAsia="pl-PL"/>
              </w:rPr>
              <w:lastRenderedPageBreak/>
              <w:t xml:space="preserve">umowy z </w:t>
            </w:r>
            <w:r w:rsidR="002C3296" w:rsidRPr="002C3296">
              <w:rPr>
                <w:rFonts w:ascii="Arial" w:eastAsia="Times New Roman" w:hAnsi="Arial" w:cs="Arial"/>
                <w:bCs/>
                <w:sz w:val="24"/>
                <w:szCs w:val="24"/>
                <w:lang w:eastAsia="pl-PL"/>
              </w:rPr>
              <w:t>podmiotami</w:t>
            </w:r>
            <w:r w:rsidRPr="002C3296">
              <w:rPr>
                <w:rFonts w:ascii="Arial" w:eastAsia="Times New Roman" w:hAnsi="Arial" w:cs="Arial"/>
                <w:bCs/>
                <w:sz w:val="24"/>
                <w:szCs w:val="24"/>
                <w:lang w:eastAsia="pl-PL"/>
              </w:rPr>
              <w:t xml:space="preserve"> administracji publicznej lub służb publicznych</w:t>
            </w:r>
          </w:p>
        </w:tc>
      </w:tr>
      <w:tr w:rsidR="00142EBD" w:rsidRPr="00CC235D" w:rsidTr="002B37B2">
        <w:trPr>
          <w:trHeight w:val="8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9</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 xml:space="preserve">EECO19 Liczba objętych wsparciem mikro-, małych i </w:t>
            </w:r>
            <w:r w:rsidRPr="00CC235D">
              <w:rPr>
                <w:rFonts w:ascii="Arial" w:eastAsia="Times New Roman" w:hAnsi="Arial" w:cs="Arial"/>
                <w:bCs/>
                <w:sz w:val="24"/>
                <w:szCs w:val="24"/>
                <w:lang w:eastAsia="pl-PL"/>
              </w:rPr>
              <w:lastRenderedPageBreak/>
              <w:t>średnich przedsiębiorstw (w tym spółdzielni i przedsiębiorstw społecznych) (przedsiębiorstwa)</w:t>
            </w:r>
          </w:p>
        </w:tc>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lastRenderedPageBreak/>
              <w:t xml:space="preserve">Za przedsiębiorstwo uważa się podmiot prowadzący działalność gospodarczą bez względu na jego formę prawną, w tym </w:t>
            </w:r>
            <w:r w:rsidRPr="00CC235D">
              <w:rPr>
                <w:rFonts w:ascii="Arial" w:eastAsia="Times New Roman" w:hAnsi="Arial" w:cs="Arial"/>
                <w:bCs/>
                <w:sz w:val="24"/>
                <w:szCs w:val="24"/>
                <w:lang w:eastAsia="pl-PL"/>
              </w:rPr>
              <w:lastRenderedPageBreak/>
              <w:t>spółdzielnie i przedsiębiorstwa społeczne.</w:t>
            </w:r>
          </w:p>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Na kategorię mikroprzedsiębiorstw oraz małych i średnich przedsiębiorstw (MMŚP) składają się przedsiębiorstwa, które zatrudniają mniej niż 250 pracowników, których roczny obrót nie przekracza 50 milionów EUR lub roczna suma bilansowa nie przekracza 43 milionów EUR.</w:t>
            </w:r>
          </w:p>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Definicje na podstawie: Zalecenie Komisji z dnia 6 maja 2003 r. dotyczące definicji mikroprzedsiębiorstw oraz małych i średnich przedsiębiorstw (2003/361/WE).</w:t>
            </w:r>
          </w:p>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Dodatkowe informacje:</w:t>
            </w:r>
          </w:p>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W kategorii mikroprzedsiębiorstwa należy uwzględnić również osoby prowadzące działalność na własny rachunek.</w:t>
            </w:r>
          </w:p>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Tylko MMŚP, które korzystają bezpośrednio ze wsparcia powinny być uwzględniane do wskaźnika, tj. w przypadku, kiedy wsparcie jest kierowane do konkretnego przedsiębiorstwa. Jeżeli na przykład pracownik z MMŚP z własnej inicjatywy uczestniczy w szkoleniu, nie należy tego uwzględniać we wskaźniku dotyczącym MMŚP, ponieważ jest to tylko wsparcie pośrednie dla przedsiębiorstwa. MMŚP będące jedynie beneficjentami projektu także nie są odnotowywane w tym wskaźniku.</w:t>
            </w:r>
          </w:p>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Podmiot jest wliczany do wskaźnika w momencie rozpoczęcia udziału w projekcie.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lastRenderedPageBreak/>
              <w:t xml:space="preserve">Wskaźnik mierzony w momencie </w:t>
            </w:r>
            <w:r w:rsidRPr="00CC235D">
              <w:rPr>
                <w:rFonts w:ascii="Arial" w:eastAsia="Times New Roman" w:hAnsi="Arial" w:cs="Arial"/>
                <w:bCs/>
                <w:sz w:val="24"/>
                <w:szCs w:val="24"/>
                <w:lang w:eastAsia="pl-PL"/>
              </w:rPr>
              <w:lastRenderedPageBreak/>
              <w:t>rozpoczęcia udziału podmiotu w projekcie</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42EBD" w:rsidRPr="00CC235D" w:rsidRDefault="002C3296" w:rsidP="002142F7">
            <w:pPr>
              <w:tabs>
                <w:tab w:val="left" w:pos="3878"/>
              </w:tabs>
              <w:spacing w:before="100"/>
              <w:rPr>
                <w:rFonts w:ascii="Arial" w:eastAsia="Times New Roman" w:hAnsi="Arial" w:cs="Arial"/>
                <w:bCs/>
                <w:sz w:val="24"/>
                <w:szCs w:val="24"/>
                <w:lang w:eastAsia="pl-PL"/>
              </w:rPr>
            </w:pPr>
            <w:r w:rsidRPr="002C3296">
              <w:rPr>
                <w:rFonts w:ascii="Arial" w:eastAsia="Times New Roman" w:hAnsi="Arial" w:cs="Arial"/>
                <w:bCs/>
                <w:sz w:val="24"/>
                <w:szCs w:val="24"/>
                <w:lang w:eastAsia="pl-PL"/>
              </w:rPr>
              <w:lastRenderedPageBreak/>
              <w:t>umowa wsparcia w ramach PSF WŁ</w:t>
            </w:r>
            <w:r>
              <w:rPr>
                <w:rFonts w:ascii="Arial" w:eastAsia="Times New Roman" w:hAnsi="Arial" w:cs="Arial"/>
                <w:bCs/>
                <w:sz w:val="24"/>
                <w:szCs w:val="24"/>
                <w:lang w:eastAsia="pl-PL"/>
              </w:rPr>
              <w:t xml:space="preserve"> z MŚP</w:t>
            </w:r>
          </w:p>
        </w:tc>
      </w:tr>
    </w:tbl>
    <w:p w:rsidR="00142EBD" w:rsidRPr="00CC235D" w:rsidRDefault="00142EBD" w:rsidP="00C66872">
      <w:pPr>
        <w:rPr>
          <w:rFonts w:ascii="Arial" w:hAnsi="Arial" w:cs="Arial"/>
          <w:sz w:val="24"/>
          <w:szCs w:val="24"/>
        </w:rPr>
      </w:pPr>
    </w:p>
    <w:sectPr w:rsidR="00142EBD" w:rsidRPr="00CC235D">
      <w:footerReference w:type="default" r:id="rId7"/>
      <w:pgSz w:w="16840" w:h="11910" w:orient="landscape"/>
      <w:pgMar w:top="1100" w:right="1040" w:bottom="1120" w:left="1300" w:header="0" w:footer="9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83A" w:rsidRDefault="00AA783A">
      <w:r>
        <w:separator/>
      </w:r>
    </w:p>
  </w:endnote>
  <w:endnote w:type="continuationSeparator" w:id="0">
    <w:p w:rsidR="00AA783A" w:rsidRDefault="00AA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669" w:rsidRDefault="00225268">
    <w:pPr>
      <w:pStyle w:val="Tekstpodstawowy"/>
      <w:spacing w:line="14" w:lineRule="auto"/>
      <w:rPr>
        <w:b w:val="0"/>
        <w:sz w:val="20"/>
      </w:rPr>
    </w:pPr>
    <w:r>
      <w:rPr>
        <w:noProof/>
        <w:lang w:eastAsia="pl-PL"/>
      </w:rPr>
      <mc:AlternateContent>
        <mc:Choice Requires="wps">
          <w:drawing>
            <wp:anchor distT="0" distB="0" distL="114300" distR="114300" simplePos="0" relativeHeight="251657728" behindDoc="1" locked="0" layoutInCell="1" allowOverlap="1">
              <wp:simplePos x="0" y="0"/>
              <wp:positionH relativeFrom="page">
                <wp:posOffset>9542780</wp:posOffset>
              </wp:positionH>
              <wp:positionV relativeFrom="page">
                <wp:posOffset>6785610</wp:posOffset>
              </wp:positionV>
              <wp:extent cx="28956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669" w:rsidRDefault="00F74FD8">
                          <w:pPr>
                            <w:spacing w:line="245" w:lineRule="exact"/>
                            <w:ind w:left="60"/>
                            <w:rPr>
                              <w:rFonts w:ascii="Calibri"/>
                            </w:rPr>
                          </w:pPr>
                          <w:r>
                            <w:fldChar w:fldCharType="begin"/>
                          </w:r>
                          <w:r>
                            <w:rPr>
                              <w:rFonts w:ascii="Calibri"/>
                            </w:rPr>
                            <w:instrText xml:space="preserve"> PAGE </w:instrText>
                          </w:r>
                          <w:r>
                            <w:fldChar w:fldCharType="separate"/>
                          </w:r>
                          <w:r w:rsidR="00A20AAE">
                            <w:rPr>
                              <w:rFonts w:ascii="Calibri"/>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51.4pt;margin-top:534.3pt;width:22.8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" filled="f" stroked="f">
              <v:textbox inset="0,0,0,0">
                <w:txbxContent>
                  <w:p w:rsidR="008C2669" w:rsidRDefault="00F74FD8">
                    <w:pPr>
                      <w:spacing w:line="245" w:lineRule="exact"/>
                      <w:ind w:left="60"/>
                      <w:rPr>
                        <w:rFonts w:ascii="Calibri"/>
                      </w:rPr>
                    </w:pPr>
                    <w:r>
                      <w:fldChar w:fldCharType="begin"/>
                    </w:r>
                    <w:r>
                      <w:rPr>
                        <w:rFonts w:ascii="Calibri"/>
                      </w:rPr>
                      <w:instrText xml:space="preserve"> PAGE </w:instrText>
                    </w:r>
                    <w:r>
                      <w:fldChar w:fldCharType="separate"/>
                    </w:r>
                    <w:r w:rsidR="00A20AAE">
                      <w:rPr>
                        <w:rFonts w:ascii="Calibri"/>
                        <w:noProof/>
                      </w:rPr>
                      <w:t>15</w:t>
                    </w:r>
                    <w:r>
                      <w:fldChar w:fldCharType="end"/>
                    </w:r>
                  </w:p>
                </w:txbxContent>
              </v:textbox>
              <w10:wrap anchorx="page" anchory="page"/>
            </v:shape>
          </w:pict>
        </mc:Fallback>
      </mc:AlternateContent>
    </w:r>
    <w:r w:rsidR="001C1270">
      <w:rPr>
        <w:b w:val="0"/>
        <w:noProof/>
        <w:sz w:val="20"/>
        <w:lang w:eastAsia="pl-PL"/>
      </w:rPr>
      <w:drawing>
        <wp:inline distT="0" distB="0" distL="0" distR="0" wp14:anchorId="7D458626">
          <wp:extent cx="5761355" cy="6096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096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83A" w:rsidRDefault="00AA783A">
      <w:r>
        <w:separator/>
      </w:r>
    </w:p>
  </w:footnote>
  <w:footnote w:type="continuationSeparator" w:id="0">
    <w:p w:rsidR="00AA783A" w:rsidRDefault="00AA7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B76C7"/>
    <w:multiLevelType w:val="hybridMultilevel"/>
    <w:tmpl w:val="FE409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2687A0E"/>
    <w:multiLevelType w:val="hybridMultilevel"/>
    <w:tmpl w:val="5AC227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56430B67"/>
    <w:multiLevelType w:val="hybridMultilevel"/>
    <w:tmpl w:val="3CBC4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69"/>
    <w:rsid w:val="00142EBD"/>
    <w:rsid w:val="001571E4"/>
    <w:rsid w:val="001C1270"/>
    <w:rsid w:val="00225268"/>
    <w:rsid w:val="002B37B2"/>
    <w:rsid w:val="002C3296"/>
    <w:rsid w:val="003511A6"/>
    <w:rsid w:val="003533E7"/>
    <w:rsid w:val="003B2B92"/>
    <w:rsid w:val="00440C61"/>
    <w:rsid w:val="004C2E98"/>
    <w:rsid w:val="00510188"/>
    <w:rsid w:val="00572AC4"/>
    <w:rsid w:val="00592115"/>
    <w:rsid w:val="007C5CAA"/>
    <w:rsid w:val="008C2669"/>
    <w:rsid w:val="00940C10"/>
    <w:rsid w:val="009F2480"/>
    <w:rsid w:val="00A20AAE"/>
    <w:rsid w:val="00A260F0"/>
    <w:rsid w:val="00A838C4"/>
    <w:rsid w:val="00AA783A"/>
    <w:rsid w:val="00B37294"/>
    <w:rsid w:val="00B533DC"/>
    <w:rsid w:val="00BE19D8"/>
    <w:rsid w:val="00C31BF4"/>
    <w:rsid w:val="00C3559E"/>
    <w:rsid w:val="00C43CB8"/>
    <w:rsid w:val="00C66872"/>
    <w:rsid w:val="00CC235D"/>
    <w:rsid w:val="00CC7A65"/>
    <w:rsid w:val="00CD5800"/>
    <w:rsid w:val="00CE3D65"/>
    <w:rsid w:val="00D35EA2"/>
    <w:rsid w:val="00D83564"/>
    <w:rsid w:val="00DC08FC"/>
    <w:rsid w:val="00E62783"/>
    <w:rsid w:val="00E727B2"/>
    <w:rsid w:val="00EA477D"/>
    <w:rsid w:val="00F74F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698FF82"/>
  <w15:docId w15:val="{7DE78A8A-E9C6-4B3A-BF77-07C407E53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Arial MT" w:eastAsia="Arial MT" w:hAnsi="Arial MT" w:cs="Arial MT"/>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rFonts w:ascii="Arial" w:eastAsia="Arial" w:hAnsi="Arial" w:cs="Arial"/>
      <w:b/>
      <w:bCs/>
      <w:sz w:val="24"/>
      <w:szCs w:val="24"/>
    </w:r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
    <w:basedOn w:val="Normalny"/>
    <w:link w:val="AkapitzlistZnak"/>
    <w:uiPriority w:val="34"/>
    <w:qFormat/>
  </w:style>
  <w:style w:type="paragraph" w:customStyle="1" w:styleId="TableParagraph">
    <w:name w:val="Table Paragraph"/>
    <w:basedOn w:val="Normalny"/>
    <w:uiPriority w:val="1"/>
    <w:qFormat/>
  </w:style>
  <w:style w:type="paragraph" w:styleId="Tekstkomentarza">
    <w:name w:val="annotation text"/>
    <w:aliases w:val=" Znak"/>
    <w:basedOn w:val="Normalny"/>
    <w:link w:val="TekstkomentarzaZnak"/>
    <w:uiPriority w:val="99"/>
    <w:unhideWhenUsed/>
    <w:rsid w:val="00C66872"/>
    <w:pPr>
      <w:widowControl/>
      <w:autoSpaceDE/>
      <w:autoSpaceDN/>
      <w:spacing w:after="200"/>
    </w:pPr>
    <w:rPr>
      <w:rFonts w:asciiTheme="minorHAnsi" w:eastAsiaTheme="minorHAnsi" w:hAnsiTheme="minorHAnsi" w:cstheme="minorBidi"/>
      <w:sz w:val="20"/>
      <w:szCs w:val="20"/>
    </w:rPr>
  </w:style>
  <w:style w:type="character" w:customStyle="1" w:styleId="TekstkomentarzaZnak">
    <w:name w:val="Tekst komentarza Znak"/>
    <w:aliases w:val=" Znak Znak"/>
    <w:basedOn w:val="Domylnaczcionkaakapitu"/>
    <w:link w:val="Tekstkomentarza"/>
    <w:uiPriority w:val="99"/>
    <w:rsid w:val="00C66872"/>
    <w:rPr>
      <w:sz w:val="20"/>
      <w:szCs w:val="20"/>
      <w:lang w:val="pl-PL"/>
    </w:rPr>
  </w:style>
  <w:style w:type="character" w:styleId="Odwoaniedokomentarza">
    <w:name w:val="annotation reference"/>
    <w:basedOn w:val="Domylnaczcionkaakapitu"/>
    <w:uiPriority w:val="99"/>
    <w:qFormat/>
    <w:rsid w:val="00C66872"/>
    <w:rPr>
      <w:rFonts w:cs="Times New Roman"/>
      <w:sz w:val="16"/>
    </w:rPr>
  </w:style>
  <w:style w:type="paragraph" w:styleId="Tekstdymka">
    <w:name w:val="Balloon Text"/>
    <w:basedOn w:val="Normalny"/>
    <w:link w:val="TekstdymkaZnak"/>
    <w:uiPriority w:val="99"/>
    <w:semiHidden/>
    <w:unhideWhenUsed/>
    <w:rsid w:val="00C66872"/>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6872"/>
    <w:rPr>
      <w:rFonts w:ascii="Segoe UI" w:eastAsia="Arial MT" w:hAnsi="Segoe UI" w:cs="Segoe UI"/>
      <w:sz w:val="18"/>
      <w:szCs w:val="18"/>
      <w:lang w:val="pl-PL"/>
    </w:rPr>
  </w:style>
  <w:style w:type="paragraph" w:styleId="Nagwek">
    <w:name w:val="header"/>
    <w:basedOn w:val="Normalny"/>
    <w:link w:val="NagwekZnak"/>
    <w:uiPriority w:val="99"/>
    <w:unhideWhenUsed/>
    <w:rsid w:val="00C66872"/>
    <w:pPr>
      <w:tabs>
        <w:tab w:val="center" w:pos="4536"/>
        <w:tab w:val="right" w:pos="9072"/>
      </w:tabs>
    </w:pPr>
  </w:style>
  <w:style w:type="character" w:customStyle="1" w:styleId="NagwekZnak">
    <w:name w:val="Nagłówek Znak"/>
    <w:basedOn w:val="Domylnaczcionkaakapitu"/>
    <w:link w:val="Nagwek"/>
    <w:uiPriority w:val="99"/>
    <w:rsid w:val="00C66872"/>
    <w:rPr>
      <w:rFonts w:ascii="Arial MT" w:eastAsia="Arial MT" w:hAnsi="Arial MT" w:cs="Arial MT"/>
      <w:lang w:val="pl-PL"/>
    </w:rPr>
  </w:style>
  <w:style w:type="paragraph" w:styleId="Stopka">
    <w:name w:val="footer"/>
    <w:basedOn w:val="Normalny"/>
    <w:link w:val="StopkaZnak"/>
    <w:uiPriority w:val="99"/>
    <w:unhideWhenUsed/>
    <w:rsid w:val="00C66872"/>
    <w:pPr>
      <w:tabs>
        <w:tab w:val="center" w:pos="4536"/>
        <w:tab w:val="right" w:pos="9072"/>
      </w:tabs>
    </w:pPr>
  </w:style>
  <w:style w:type="character" w:customStyle="1" w:styleId="StopkaZnak">
    <w:name w:val="Stopka Znak"/>
    <w:basedOn w:val="Domylnaczcionkaakapitu"/>
    <w:link w:val="Stopka"/>
    <w:uiPriority w:val="99"/>
    <w:rsid w:val="00C66872"/>
    <w:rPr>
      <w:rFonts w:ascii="Arial MT" w:eastAsia="Arial MT" w:hAnsi="Arial MT" w:cs="Arial MT"/>
      <w:lang w:val="pl-PL"/>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34"/>
    <w:qFormat/>
    <w:locked/>
    <w:rsid w:val="00142EBD"/>
    <w:rPr>
      <w:rFonts w:ascii="Arial MT" w:eastAsia="Arial MT" w:hAnsi="Arial MT" w:cs="Arial MT"/>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17</Pages>
  <Words>4159</Words>
  <Characters>24954</Characters>
  <Application>Microsoft Office Word</Application>
  <DocSecurity>0</DocSecurity>
  <Lines>207</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Gajda</dc:creator>
  <cp:lastModifiedBy>Anna Pogorzelska</cp:lastModifiedBy>
  <cp:revision>18</cp:revision>
  <cp:lastPrinted>2023-06-14T10:31:00Z</cp:lastPrinted>
  <dcterms:created xsi:type="dcterms:W3CDTF">2023-05-24T09:21:00Z</dcterms:created>
  <dcterms:modified xsi:type="dcterms:W3CDTF">2023-06-16T09:50:00Z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 2016</vt:lpwstr>
  </property>
  <property fmtid="{D5CDD505-2E9C-101B-9397-08002B2CF9AE}" pid="4" name="LastSaved">
    <vt:filetime>2023-05-18T00:00:00Z</vt:filetime>
  </property>
</Properties>
</file>