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D0" w:rsidRPr="004C4D15" w:rsidRDefault="007C13D0" w:rsidP="002525B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C8522C">
        <w:rPr>
          <w:rFonts w:ascii="Arial" w:hAnsi="Arial" w:cs="Arial"/>
          <w:b/>
          <w:sz w:val="24"/>
          <w:szCs w:val="24"/>
        </w:rPr>
        <w:t>2</w:t>
      </w:r>
      <w:r w:rsidRPr="004C4D15">
        <w:rPr>
          <w:rFonts w:ascii="Arial" w:hAnsi="Arial" w:cs="Arial"/>
          <w:b/>
          <w:sz w:val="24"/>
          <w:szCs w:val="24"/>
        </w:rPr>
        <w:t xml:space="preserve"> do </w:t>
      </w:r>
      <w:r w:rsidR="00C8522C">
        <w:rPr>
          <w:rFonts w:ascii="Arial" w:hAnsi="Arial" w:cs="Arial"/>
          <w:b/>
          <w:sz w:val="24"/>
          <w:szCs w:val="24"/>
        </w:rPr>
        <w:t xml:space="preserve">instrukcji wypełniania wniosku </w:t>
      </w:r>
      <w:r w:rsidR="00C8522C" w:rsidRPr="00C8522C">
        <w:rPr>
          <w:rFonts w:ascii="Arial" w:hAnsi="Arial" w:cs="Arial"/>
          <w:b/>
          <w:sz w:val="24"/>
          <w:szCs w:val="24"/>
        </w:rPr>
        <w:t xml:space="preserve">o dofinansowanie projektu </w:t>
      </w:r>
      <w:bookmarkStart w:id="0" w:name="_GoBack"/>
      <w:bookmarkEnd w:id="0"/>
      <w:r w:rsidR="00C8522C" w:rsidRPr="00C8522C">
        <w:rPr>
          <w:rFonts w:ascii="Arial" w:hAnsi="Arial" w:cs="Arial"/>
          <w:b/>
          <w:sz w:val="24"/>
          <w:szCs w:val="24"/>
        </w:rPr>
        <w:t xml:space="preserve">w ramach programu regionalnego </w:t>
      </w:r>
      <w:r w:rsidR="00C8522C" w:rsidRPr="00C8522C">
        <w:rPr>
          <w:rFonts w:ascii="Arial" w:hAnsi="Arial" w:cs="Arial"/>
          <w:b/>
          <w:i/>
          <w:sz w:val="24"/>
          <w:szCs w:val="24"/>
        </w:rPr>
        <w:t>Fundusze Europejskie dla Łódzkiego 2021-2027</w:t>
      </w:r>
    </w:p>
    <w:p w:rsidR="007C13D0" w:rsidRPr="002525B5" w:rsidRDefault="002525B5" w:rsidP="00E56D9E">
      <w:pPr>
        <w:pStyle w:val="Nagwek2"/>
      </w:pPr>
      <w:r w:rsidRPr="002525B5">
        <w:t xml:space="preserve">ZASADY PRZYGOTOWANIA STUDIUM WYKONALNOŚCI DLA PROJEKTÓW REALIZOWANYCH W RAMACH PROGRAMU REGIONALNEGO FUNDUSZE EUROPEJSKIE DLA ŁÓDZKIEGO 2021-2027 </w:t>
      </w:r>
    </w:p>
    <w:p w:rsidR="007C13D0" w:rsidRDefault="007C13D0" w:rsidP="002525B5">
      <w:pPr>
        <w:spacing w:after="120" w:line="360" w:lineRule="auto"/>
      </w:pPr>
      <w:r>
        <w:br w:type="page"/>
      </w:r>
    </w:p>
    <w:p w:rsidR="007C13D0" w:rsidRPr="00F920C3" w:rsidRDefault="007C13D0" w:rsidP="002525B5">
      <w:pPr>
        <w:spacing w:after="120" w:line="360" w:lineRule="auto"/>
        <w:rPr>
          <w:rFonts w:ascii="Arial" w:hAnsi="Arial" w:cs="Arial"/>
          <w:sz w:val="28"/>
          <w:szCs w:val="24"/>
        </w:rPr>
      </w:pPr>
      <w:r w:rsidRPr="00F920C3">
        <w:rPr>
          <w:rFonts w:ascii="Arial" w:hAnsi="Arial" w:cs="Arial"/>
          <w:sz w:val="28"/>
          <w:szCs w:val="24"/>
        </w:rPr>
        <w:lastRenderedPageBreak/>
        <w:t xml:space="preserve">Zasady przygotowania studium wykonalności dotyczą projektów, których całkowity koszt kwalifikowalny w momencie złożenia wniosku o dofinansowanie wynosi powyżej 50 mln PLN. </w:t>
      </w:r>
    </w:p>
    <w:bookmarkStart w:id="1" w:name="_Toc13305618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4424125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C13D0" w:rsidRDefault="007C13D0" w:rsidP="002525B5">
          <w:pPr>
            <w:pStyle w:val="Nagwek1"/>
            <w:numPr>
              <w:ilvl w:val="0"/>
              <w:numId w:val="0"/>
            </w:numPr>
            <w:ind w:left="714"/>
          </w:pPr>
          <w:r>
            <w:t>Spis treści</w:t>
          </w:r>
          <w:bookmarkEnd w:id="1"/>
        </w:p>
        <w:p w:rsidR="00E02B64" w:rsidRDefault="00E02B64" w:rsidP="002525B5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\u </w:instrText>
          </w:r>
          <w:r>
            <w:rPr>
              <w:b w:val="0"/>
            </w:rPr>
            <w:fldChar w:fldCharType="separate"/>
          </w:r>
          <w:r>
            <w:rPr>
              <w:noProof/>
            </w:rPr>
            <w:t>Spis treści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WSTĘP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WYKAZ SKRÓTÓW I POJĘĆ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ZASADY OGÓLNE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DEFINICJA CELÓW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IDENTYFIKACJA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WYKONALNOŚCI, ANALIZA POPYTU ORAZ 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AD018B">
            <w:rPr>
              <w:rFonts w:cs="Arial"/>
              <w:noProof/>
            </w:rPr>
            <w:t>Analiza wykonalności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popytu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FINANSOWA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Założenia i metody do analizy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Określenie przychodów projektu, kalkulacja taryf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Ustalenie wartości wskaźników efektywności finansowej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trwałości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KOSZTÓW I KORZYŚCI – ANALIZA EKONOMICZNA / ANALIZA EFEKTYWNOŚCI KOSZTOWEJ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RYZYKA I ANALIZA WRAŻLIWOŚCI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6D9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7C13D0" w:rsidRDefault="00E02B64" w:rsidP="002525B5">
          <w:pPr>
            <w:spacing w:after="120" w:line="360" w:lineRule="auto"/>
          </w:pPr>
          <w:r>
            <w:rPr>
              <w:rFonts w:ascii="Arial" w:hAnsi="Arial"/>
              <w:b/>
              <w:sz w:val="24"/>
            </w:rPr>
            <w:fldChar w:fldCharType="end"/>
          </w:r>
        </w:p>
      </w:sdtContent>
    </w:sdt>
    <w:p w:rsidR="007348FA" w:rsidRDefault="007C13D0" w:rsidP="002525B5">
      <w:pPr>
        <w:pStyle w:val="Nagwek1"/>
      </w:pPr>
      <w:r>
        <w:br w:type="page"/>
      </w:r>
      <w:bookmarkStart w:id="2" w:name="_Toc133056184"/>
      <w:r>
        <w:lastRenderedPageBreak/>
        <w:t>WSTĘP</w:t>
      </w:r>
      <w:bookmarkEnd w:id="2"/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 programu regionalnego Fundusze Europejskie dla Łódzkiego 2021-2027 są przeznaczone dla osób,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przygotowujących studia wykonalności dla projektów inwestycyjnych których całkowity koszt kwalifikowalny w momencie złożenia wniosku o dofinansowanie wynosi powyżej 50 mln PLN.</w:t>
      </w:r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Głównym celem niniejszego dokumentu jest przedstawienie zasad opracowywania studium wykonalności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 ramach FEŁ2027 oraz osiągnięcie efektu porównywalności projektów. Zasady mają ułatwić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proces przygotowania studiów wykonalności przez wnioskodawców, a także ocenę składanych w ramach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naborów projektów.</w:t>
      </w:r>
    </w:p>
    <w:p w:rsidR="007348FA" w:rsidRPr="002525B5" w:rsidRDefault="00B74675" w:rsidP="002525B5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kwestiach nieuregulowanych Zasadami przygotowania studium wykonalności dla projektów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realizowanych w ramach programu regionalnego Fundusze Europejskie dla Łódzkiego 2021-2027 należy kierować się treścią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Wytycznych </w:t>
      </w:r>
      <w:r w:rsidR="00F920C3" w:rsidRPr="002525B5">
        <w:rPr>
          <w:rStyle w:val="markedcontent"/>
          <w:rFonts w:ascii="Arial" w:hAnsi="Arial" w:cs="Arial"/>
          <w:i/>
          <w:sz w:val="24"/>
          <w:szCs w:val="24"/>
        </w:rPr>
        <w:t>dotyczących zagadnień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 związanych z przygotowaniem</w:t>
      </w:r>
      <w:r w:rsidRPr="002525B5">
        <w:rPr>
          <w:rFonts w:ascii="Arial" w:hAnsi="Arial" w:cs="Arial"/>
          <w:i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projektów inwestycyjnych, w tym hybrydowych na lata 2021-2027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 oraz zasadami określonymi w </w:t>
      </w:r>
      <w:r w:rsidR="007348FA" w:rsidRPr="002525B5">
        <w:rPr>
          <w:rStyle w:val="markedcontent"/>
          <w:rFonts w:ascii="Arial" w:hAnsi="Arial" w:cs="Arial"/>
          <w:i/>
          <w:sz w:val="24"/>
          <w:szCs w:val="24"/>
        </w:rPr>
        <w:t xml:space="preserve">Przewodniku AKK 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="002525B5">
        <w:rPr>
          <w:rStyle w:val="markedcontent"/>
          <w:rFonts w:ascii="Arial" w:hAnsi="Arial" w:cs="Arial"/>
          <w:i/>
          <w:sz w:val="24"/>
          <w:szCs w:val="24"/>
        </w:rPr>
        <w:t>Vademecum AE.</w:t>
      </w:r>
    </w:p>
    <w:p w:rsidR="00B74675" w:rsidRPr="002525B5" w:rsidRDefault="00B74675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związku z powyższym wnioskodawcy przy opracowaniu studium wykonalności powinni łącznie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stosować niniejsze Zasady i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Wytyczne.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W przypadku wejścia w życie zmian do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Wytycznych,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jeśli zmiany te wpływają na treść Zasad, przy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opracowywaniu studiów wykonalności, do czasu zaktualizowania niniejszego dokumentu, należy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kierować się zapisami aktualnych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Wytycznych.</w:t>
      </w:r>
    </w:p>
    <w:p w:rsidR="007C13D0" w:rsidRDefault="007C13D0" w:rsidP="002525B5">
      <w:pPr>
        <w:pStyle w:val="Nagwek1"/>
      </w:pPr>
      <w:bookmarkStart w:id="3" w:name="_Toc133056185"/>
      <w:r>
        <w:t xml:space="preserve">WYKAZ </w:t>
      </w:r>
      <w:r w:rsidRPr="002525B5">
        <w:t>SKRÓTÓW</w:t>
      </w:r>
      <w:r>
        <w:t xml:space="preserve"> I POJĘĆ</w:t>
      </w:r>
      <w:bookmarkEnd w:id="3"/>
      <w:r w:rsidR="00B74675">
        <w:t xml:space="preserve"> </w:t>
      </w:r>
    </w:p>
    <w:p w:rsidR="007348FA" w:rsidRPr="002525B5" w:rsidRDefault="00B74675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Użyte w niniejszych Zasadach skróty i pojęcia oznaczają: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– program regionalny Fundusze Euro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pejskie dla Łódzkiego 2021-2027.</w:t>
      </w:r>
    </w:p>
    <w:p w:rsidR="00B7467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IZ 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2525B5">
        <w:rPr>
          <w:rStyle w:val="markedcontent"/>
          <w:rFonts w:ascii="Arial" w:hAnsi="Arial" w:cs="Arial"/>
          <w:sz w:val="24"/>
          <w:szCs w:val="24"/>
        </w:rPr>
        <w:t>Instytucję Zarządzającą programem regionalnym Fundusze Euro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pejskie dla Łódzkiego 2021-2027.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val="en-US"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Przewodnik AKK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1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Przewodnik do analizy kosztów i korzyści projektów inwestycyjnych (ang. </w:t>
      </w:r>
      <w:r w:rsidRPr="002525B5">
        <w:rPr>
          <w:rFonts w:ascii="Arial" w:hAnsi="Arial" w:cs="Arial"/>
          <w:sz w:val="24"/>
          <w:szCs w:val="24"/>
          <w:lang w:val="en-US" w:eastAsia="pl-PL"/>
        </w:rPr>
        <w:t>Guide to cost-benefit Analysis of Investment Projects), Komisja Europejska, grudzień 2014.</w:t>
      </w:r>
    </w:p>
    <w:p w:rsidR="00CB32D9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lastRenderedPageBreak/>
        <w:t>Vademecum AE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2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Vademecum analizy ekonomicznej (ang. Economic Appraisal Vademecum 2021-2027), Kom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isja Europejska, wrzesień 2021.</w:t>
      </w:r>
    </w:p>
    <w:p w:rsidR="00D562E5" w:rsidRPr="002525B5" w:rsidRDefault="00A7355C" w:rsidP="002525B5">
      <w:pPr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</w:rPr>
        <w:t>Wytyczne</w:t>
      </w:r>
      <w:r w:rsidRPr="002525B5">
        <w:rPr>
          <w:rFonts w:ascii="Arial" w:hAnsi="Arial" w:cs="Arial"/>
          <w:sz w:val="24"/>
          <w:szCs w:val="24"/>
        </w:rPr>
        <w:t xml:space="preserve"> – </w:t>
      </w:r>
      <w:r w:rsidR="00426F21" w:rsidRPr="002525B5">
        <w:rPr>
          <w:rFonts w:ascii="Arial" w:hAnsi="Arial" w:cs="Arial"/>
          <w:sz w:val="24"/>
          <w:szCs w:val="24"/>
        </w:rPr>
        <w:t>Wytyczne Ministra Funduszy i Polityki Regionalnej dotyczących zagadnień związanych z przygotowaniem projektów inwestycyjnych, w tym hybrydowych na lata 2021-2027</w:t>
      </w:r>
      <w:r w:rsidR="00F920C3" w:rsidRPr="002525B5">
        <w:rPr>
          <w:rFonts w:ascii="Arial" w:hAnsi="Arial" w:cs="Arial"/>
          <w:sz w:val="24"/>
          <w:szCs w:val="24"/>
        </w:rPr>
        <w:t>.</w:t>
      </w:r>
    </w:p>
    <w:p w:rsidR="00D562E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b/>
          <w:sz w:val="24"/>
          <w:szCs w:val="24"/>
        </w:rPr>
        <w:t>Zasady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–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</w:t>
      </w:r>
      <w:r w:rsidR="00CB32D9" w:rsidRPr="002525B5">
        <w:rPr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programu regionalnego Fundusze Europejskie dla Łódzkiego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na lata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2021-2027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7C13D0" w:rsidRDefault="007C13D0" w:rsidP="002525B5">
      <w:pPr>
        <w:pStyle w:val="Nagwek1"/>
      </w:pPr>
      <w:bookmarkStart w:id="4" w:name="_Toc133056186"/>
      <w:r>
        <w:t>ZASADY OGÓLNE</w:t>
      </w:r>
      <w:bookmarkEnd w:id="4"/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Studium wykonalności umożliwia dokonanie oceny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 xml:space="preserve"> projektu przez IZ FEŁ2027.</w:t>
      </w:r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Musi przedstawiać w sposób </w:t>
      </w:r>
      <w:r w:rsidRPr="002525B5">
        <w:rPr>
          <w:rFonts w:ascii="Arial" w:hAnsi="Arial" w:cs="Arial"/>
          <w:b/>
          <w:sz w:val="24"/>
          <w:szCs w:val="24"/>
          <w:u w:val="single"/>
          <w:lang w:eastAsia="pl-PL"/>
        </w:rPr>
        <w:t>zwięzły i jednoznaczny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uzasadnie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nie realizacji projektu, w tym: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Wybór rozwiązania techniczno-technologicznego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Ekonomicz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ne i finansowe aspekty projektu;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Określenie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: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posiada zdolność techniczną, finansową i instytucjonalną do realizacji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jest w stanie zagwarantować stabilność finansową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czy wnioskodawca jest w stanie zapewnić środki na pokrycie kosztów operacyjnych niezbędnych dla funkcjonowania proj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ektu zgodnie z celami.</w:t>
      </w:r>
    </w:p>
    <w:p w:rsidR="004B6648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Wszystkie obliczenia wykonywane są dla całego projektu. W przypadku, gdy wniosek o dofinansowanie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przygotowywany jest dla etapu, a etap ten nie jest tożsamy z projektem (a jest jedynie elementem projektu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wieloletniego), wskaźniki postępu rzeczowego, wydatki kwalifikowalne, należy określić oddzielnie dla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wnioskowanego etapu i dla całego projektu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4B6648" w:rsidRPr="002525B5" w:rsidRDefault="004B6648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lastRenderedPageBreak/>
        <w:t>Do studium wykonalności należy załączyć tabelę finansową (jako aktywny arkusz kalkulacyjny). Wszelkie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przedstawione w niej wyliczenia powinny być poparte odpowiednimi komentarzami objaśniającymi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przyjęte założenia kalkulacyjne, wraz z informacjami w zakresie źródeł pośrednich (konieczne podanie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tytułu źródła, rozdziału, nr strony, nr tabeli). Tabela musi zawierać jawne (nie ukryte) i działające formuły.</w:t>
      </w:r>
    </w:p>
    <w:p w:rsidR="00D562E5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podsumowaniu studium należy przedstawić i skomentować wyniki zgodne z załącznikiem.</w:t>
      </w:r>
    </w:p>
    <w:p w:rsidR="007C13D0" w:rsidRDefault="007C13D0" w:rsidP="002525B5">
      <w:pPr>
        <w:pStyle w:val="Nagwek1"/>
      </w:pPr>
      <w:bookmarkStart w:id="5" w:name="_Toc133056187"/>
      <w:r>
        <w:t>DEFINICJA CELÓW PROJEKTU</w:t>
      </w:r>
      <w:bookmarkEnd w:id="5"/>
      <w:r>
        <w:t xml:space="preserve">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Punktem wyjścia dla przeprowadzenia </w:t>
      </w:r>
      <w:r w:rsidR="007043CC" w:rsidRPr="002525B5">
        <w:rPr>
          <w:rFonts w:ascii="Arial" w:hAnsi="Arial" w:cs="Arial"/>
          <w:sz w:val="24"/>
          <w:szCs w:val="24"/>
        </w:rPr>
        <w:t xml:space="preserve">oceny </w:t>
      </w:r>
      <w:r w:rsidRPr="002525B5">
        <w:rPr>
          <w:rFonts w:ascii="Arial" w:hAnsi="Arial" w:cs="Arial"/>
          <w:sz w:val="24"/>
          <w:szCs w:val="24"/>
        </w:rPr>
        <w:t>dotyczących zasadności realizacji działań inwestycyjnych oraz ich ekonomicznej opłacalności jes</w:t>
      </w:r>
      <w:r w:rsidR="007043CC" w:rsidRPr="002525B5">
        <w:rPr>
          <w:rFonts w:ascii="Arial" w:hAnsi="Arial" w:cs="Arial"/>
          <w:sz w:val="24"/>
          <w:szCs w:val="24"/>
        </w:rPr>
        <w:t>t zdefiniowanie celów projektu (patrz: Wytyczne – Rozdział 3).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Cele projektu (pośrednie jak i bezpośrednie) należy określić w oparciu o analizę potrzeb danego środowiska społeczno-gospodarczego, w uwzględnieniem zjawisk najbardziej adekwatnych do skali oddziaływania projektu.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Cele projektu zdefiniowane w analizie muszą spełniać następujące założenia: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jasno wskazywać, jakie korzyści społeczno-gospodarcze można osiągnąć dzięki wdrożeniu projektu,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ze sobą (w przypadku gdy w ramach projektu realizowanych jest jednocześnie kilka celów)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na tyle, na ile to możliwe należy je skwantyfikować poprzez określenie wartości bazowych i docelowych oraz metody pomiaru ich osiągnięcia,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 ogólnymi celami realizacji FEŁ2027, tj. wymagane jest określenie zbieżności celów projektu z celami realizacji danego priorytetu programu.</w:t>
      </w:r>
    </w:p>
    <w:p w:rsidR="007348FA" w:rsidRDefault="007348FA" w:rsidP="002525B5">
      <w:pPr>
        <w:pStyle w:val="Nagwek1"/>
      </w:pPr>
      <w:bookmarkStart w:id="6" w:name="_Toc133056188"/>
      <w:r>
        <w:t>IDENTYFIKACJA PROJEKTU</w:t>
      </w:r>
      <w:bookmarkEnd w:id="6"/>
    </w:p>
    <w:p w:rsidR="00E02B64" w:rsidRPr="002525B5" w:rsidRDefault="004B438E" w:rsidP="002525B5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Identyfikacja projektu musi zawierać </w:t>
      </w:r>
      <w:r w:rsidRPr="002525B5">
        <w:rPr>
          <w:rFonts w:ascii="Arial" w:hAnsi="Arial" w:cs="Arial"/>
          <w:sz w:val="24"/>
          <w:szCs w:val="24"/>
          <w:u w:val="single"/>
          <w:lang w:eastAsia="pl-PL"/>
        </w:rPr>
        <w:t>zwięzłą i jednoznaczną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informację na temat całościowej konce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pcji i logicznych ram projektu (patrz: Wytyczne – Rozdział 4).</w:t>
      </w:r>
    </w:p>
    <w:p w:rsidR="007C13D0" w:rsidRDefault="007C13D0" w:rsidP="002525B5">
      <w:pPr>
        <w:pStyle w:val="Nagwek1"/>
      </w:pPr>
      <w:bookmarkStart w:id="7" w:name="_Toc133056189"/>
      <w:r>
        <w:lastRenderedPageBreak/>
        <w:t>ANALIZA WYKONALNOŚCI, ANALIZA POPYTU ORAZ ANALIZA OPCJI</w:t>
      </w:r>
      <w:bookmarkEnd w:id="7"/>
      <w:r>
        <w:t xml:space="preserve"> </w:t>
      </w:r>
    </w:p>
    <w:p w:rsidR="005A0E5B" w:rsidRPr="002525B5" w:rsidRDefault="005A0E5B" w:rsidP="002525B5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Przeprowadzenie analizy wykonalności, analizy popytu i analizy opcji (rozwiązań alternatywnych) ma na celu wykazanie, że wybrany przez wnioskodawcę wariant realizacji projektu reprezentuje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najlepsze spośró</w:t>
      </w:r>
      <w:r w:rsidR="007043CC" w:rsidRPr="002525B5">
        <w:rPr>
          <w:rStyle w:val="markedcontent"/>
          <w:rFonts w:ascii="Arial" w:hAnsi="Arial" w:cs="Arial"/>
          <w:sz w:val="24"/>
          <w:szCs w:val="24"/>
        </w:rPr>
        <w:t xml:space="preserve">d wszelkich możliwych rozwiązań 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(patrz: Wytyczne – Rozdział 5).</w:t>
      </w:r>
    </w:p>
    <w:p w:rsidR="005A0E5B" w:rsidRPr="00AA44BA" w:rsidRDefault="005A0E5B" w:rsidP="00E56D9E">
      <w:pPr>
        <w:pStyle w:val="Nagwek2"/>
        <w:rPr>
          <w:rStyle w:val="markedcontent"/>
        </w:rPr>
      </w:pPr>
      <w:bookmarkStart w:id="8" w:name="_Toc133056190"/>
      <w:r w:rsidRPr="00AA44BA">
        <w:rPr>
          <w:rStyle w:val="markedcontent"/>
        </w:rPr>
        <w:t>Analiza wykonalności</w:t>
      </w:r>
      <w:bookmarkEnd w:id="8"/>
      <w:r w:rsidRPr="00AA44BA">
        <w:rPr>
          <w:rStyle w:val="markedcontent"/>
        </w:rPr>
        <w:t xml:space="preserve"> </w:t>
      </w:r>
    </w:p>
    <w:p w:rsidR="005A0E5B" w:rsidRDefault="005A0E5B" w:rsidP="002525B5">
      <w:pPr>
        <w:pStyle w:val="Nagwek3"/>
        <w:spacing w:before="0" w:after="120"/>
      </w:pPr>
      <w:r>
        <w:t>Celem analizy wykonalności jest zidentyfikowanie możliwych do zastosowania</w:t>
      </w:r>
      <w:r w:rsidR="00375FA4">
        <w:t xml:space="preserve"> </w:t>
      </w:r>
      <w:r>
        <w:t>rozwiązań inwestycyjnych, które można uznać za wykonalne pod względem</w:t>
      </w:r>
      <w:r w:rsidR="00375FA4">
        <w:t xml:space="preserve"> </w:t>
      </w:r>
      <w:r>
        <w:t>technicznym, ekonomicznym, środowiskowym i instytucjonalnym.</w:t>
      </w:r>
    </w:p>
    <w:p w:rsidR="005A0E5B" w:rsidRDefault="005A0E5B" w:rsidP="00E56D9E">
      <w:pPr>
        <w:pStyle w:val="Nagwek2"/>
      </w:pPr>
      <w:bookmarkStart w:id="9" w:name="_Toc133056191"/>
      <w:r w:rsidRPr="00AA44BA">
        <w:rPr>
          <w:rStyle w:val="markedcontent"/>
        </w:rPr>
        <w:t>Analiza</w:t>
      </w:r>
      <w:r>
        <w:t xml:space="preserve"> popytu</w:t>
      </w:r>
      <w:bookmarkEnd w:id="9"/>
    </w:p>
    <w:p w:rsidR="005A0E5B" w:rsidRDefault="005A0E5B" w:rsidP="002525B5">
      <w:pPr>
        <w:pStyle w:val="Nagwek3"/>
        <w:spacing w:before="0" w:after="120"/>
      </w:pPr>
      <w:r>
        <w:t>I</w:t>
      </w:r>
      <w:r w:rsidRPr="005A0E5B">
        <w:t>dentyfikuje i ilościowo określa społeczne zapotrzebowanie na</w:t>
      </w:r>
      <w:r>
        <w:t xml:space="preserve"> </w:t>
      </w:r>
      <w:r w:rsidRPr="005A0E5B">
        <w:t>realiza</w:t>
      </w:r>
      <w:r>
        <w:t>cję planowanej inwestycji. W</w:t>
      </w:r>
      <w:r w:rsidRPr="005A0E5B">
        <w:t xml:space="preserve"> ramach </w:t>
      </w:r>
      <w:r>
        <w:t xml:space="preserve">analizy popytu </w:t>
      </w:r>
      <w:r w:rsidRPr="005A0E5B">
        <w:t>należy uwzględnić zarówno bieżący</w:t>
      </w:r>
      <w:r>
        <w:t xml:space="preserve"> </w:t>
      </w:r>
      <w:r w:rsidRPr="005A0E5B">
        <w:t>(w oparciu o aktualne dane), jak również prognozowany popyt (w oparciu o</w:t>
      </w:r>
      <w:r>
        <w:t xml:space="preserve"> </w:t>
      </w:r>
      <w:r w:rsidRPr="005A0E5B">
        <w:t>prognozy uwzględniające m.in. wskaźniki makroek</w:t>
      </w:r>
      <w:r>
        <w:t xml:space="preserve">onomiczne i społeczne). </w:t>
      </w:r>
    </w:p>
    <w:p w:rsidR="005A0E5B" w:rsidRPr="005A0E5B" w:rsidRDefault="005A0E5B" w:rsidP="002525B5">
      <w:pPr>
        <w:pStyle w:val="Nagwek3"/>
        <w:spacing w:before="0" w:after="120"/>
      </w:pPr>
      <w:r>
        <w:t xml:space="preserve">Analizę </w:t>
      </w:r>
      <w:r w:rsidRPr="005A0E5B">
        <w:t xml:space="preserve">prognozowanego popytu należy przeprowadzić </w:t>
      </w:r>
      <w:r w:rsidRPr="005A0E5B">
        <w:rPr>
          <w:u w:val="single"/>
        </w:rPr>
        <w:t>dla scenariusza z inwestycją oraz bez inwestycji.</w:t>
      </w:r>
      <w:r w:rsidRPr="005A0E5B">
        <w:t xml:space="preserve"> Ponadto, analiza ta odwołuje się do kwestii bieżącego oraz</w:t>
      </w:r>
      <w:r>
        <w:t xml:space="preserve"> </w:t>
      </w:r>
      <w:r w:rsidRPr="005A0E5B">
        <w:t>przyszłego zapotrzebowania inwestycji na zasoby, przewidywanego rozwoju</w:t>
      </w:r>
      <w:r>
        <w:t xml:space="preserve"> </w:t>
      </w:r>
      <w:r w:rsidRPr="005A0E5B">
        <w:t>infrastruktury oraz ewentualnego efektu sieciowego, związanego z koniecznością</w:t>
      </w:r>
      <w:r>
        <w:t xml:space="preserve"> </w:t>
      </w:r>
      <w:r w:rsidRPr="005A0E5B">
        <w:t>uwzględnienia faktu, iż projekt będzie stanowił część sieci (np. transportowej lub</w:t>
      </w:r>
      <w:r>
        <w:t xml:space="preserve"> </w:t>
      </w:r>
      <w:r w:rsidRPr="005A0E5B">
        <w:t>energetycznej), co przełoży się na jego wyniki finansowe i ekonomiczne.</w:t>
      </w:r>
    </w:p>
    <w:p w:rsidR="005A0E5B" w:rsidRPr="005A0E5B" w:rsidRDefault="005A0E5B" w:rsidP="00E56D9E">
      <w:pPr>
        <w:pStyle w:val="Nagwek2"/>
      </w:pPr>
      <w:bookmarkStart w:id="10" w:name="_Toc133056192"/>
      <w:r>
        <w:t>Analiza opcji</w:t>
      </w:r>
      <w:bookmarkEnd w:id="10"/>
      <w:r>
        <w:t xml:space="preserve"> 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Analiza opcji polega na dokonaniu porównania i oceny możliwych do zastosowania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 xml:space="preserve">rozwiązań inwestycyjnych zidentyfikowanych na etapie analizy wykonalności.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Niedopuszczalne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jest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, aby w ramach analizy opcji dokonać porównania jednego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rozwiązania inwestycyjnego z wariantem bezinwestycyjnym, za wyjątkiem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projektów, dla których brak jest technicznego, finansowego i prawnego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alternatywnego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rozwiązania inwestycyjnego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02B9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Wówczas wnioskodawca musi we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wniosku o dofinansowanie uzasadnić, iż nie istnieje więcej niż jedno rozwiązanie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inwestycyjne, mające uzasadnienie techniczne, prawne i finansowe.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Celem tej analizy jest wskazanie, które z ww. rozwiązań jest najkorzystniejsze.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Powinny one być ze sobą porównywalne w oparciu o szereg kryteriów, m.in.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kryteria techniczne, instytucjonalne, ekonomiczne i środowiskowe.</w:t>
      </w:r>
    </w:p>
    <w:p w:rsidR="002C02B9" w:rsidRPr="002C02B9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Analizę opcji należy przeprowadzać w dwóch etapach:</w:t>
      </w:r>
    </w:p>
    <w:p w:rsidR="002C02B9" w:rsidRP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pierwszy – analiza strategiczna – ten etap koncentruje się na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podstawowych rozwiązaniach o charakterze strategicznym (np. rodzaj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infrastruktury lub środków transportu albo lokalizacja projektu). Etap ten, co do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zasady, przyjmuje formę analizy wielokryterialnej i opiera się na kryteriach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jakościowych.</w:t>
      </w:r>
    </w:p>
    <w:p w:rsid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drugi – analiza rozwiązań technologicznych – na tym etapie należy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przeanalizować poszczególne rozwiązania pod kątem technologicznym, np.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odpowiedzieć na pytanie, czy bardziej korzystna będzie modernizacja już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funkcjonującej infrastruktury, czy też budowa nowej. Do przeprowadzenia tego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etapu zazwyczaj zastosowanie mają metody oparte na kryteriach ilościowych.</w:t>
      </w:r>
    </w:p>
    <w:p w:rsidR="002C02B9" w:rsidRPr="007043CC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Analizę opcji można przeprowadzić w sposób uproszczony – wyłącznie w oparciu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o kryteria jakościowe</w:t>
      </w:r>
      <w:r w:rsidR="002C02B9" w:rsidRPr="007043CC">
        <w:rPr>
          <w:rStyle w:val="Odwoanieprzypisudolnego"/>
          <w:rFonts w:ascii="Arial" w:eastAsia="Times New Roman" w:hAnsi="Arial" w:cs="Arial"/>
          <w:sz w:val="24"/>
          <w:szCs w:val="24"/>
          <w:u w:val="single"/>
          <w:lang w:eastAsia="pl-PL"/>
        </w:rPr>
        <w:footnoteReference w:id="4"/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. Decyzja w zakresie sposobu przeprowadzenia analizy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należy do instytucji zarządzającej.</w:t>
      </w:r>
    </w:p>
    <w:p w:rsidR="007043CC" w:rsidRPr="007043CC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Po przeprowadzeniu analizy wykonalności, analizy popytu oraz analizy opcji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wnioskodawca dokonuje wyboru rozwiązania do zastosowania i formułuje jego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zasadnienie.</w:t>
      </w:r>
      <w:r w:rsidR="007043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Wariant wybrany do realizacji, zgodnie z art. 73 ust. 2 lit. c)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Rozporządzenia UE nr 2021/1060, musi odzwierciedlać najkorzystniejszą relację między kwotą wsparcia, podejmowanymi działaniami i osiąganymi celami.</w:t>
      </w:r>
    </w:p>
    <w:p w:rsidR="004B6648" w:rsidRPr="00EC6185" w:rsidRDefault="007C13D0" w:rsidP="002525B5">
      <w:pPr>
        <w:pStyle w:val="Nagwek1"/>
      </w:pPr>
      <w:bookmarkStart w:id="11" w:name="_Toc133056193"/>
      <w:r w:rsidRPr="00EC6185">
        <w:t>ANALIZA FINANSOWA</w:t>
      </w:r>
      <w:bookmarkEnd w:id="11"/>
    </w:p>
    <w:p w:rsidR="00B45CE6" w:rsidRPr="00AA44BA" w:rsidRDefault="00B45CE6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Przeprowadzenie analizy finansowej ma na celu w szczególności:</w:t>
      </w:r>
    </w:p>
    <w:p w:rsidR="00B45CE6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ocenę finansowej rentowności inwestycji i kapitału krajowego, poprzez ustalenie wartości wskaźników efektywności finansowej projektu, </w:t>
      </w:r>
    </w:p>
    <w:p w:rsidR="00EC1B9A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weryfikację trwałości finansowej projektu i beneficjenta/operatora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Analizę finansową należy przeprowadzić zgodnie z </w:t>
      </w:r>
      <w:r w:rsidRPr="00AA44BA">
        <w:rPr>
          <w:rFonts w:ascii="Arial" w:hAnsi="Arial" w:cs="Arial"/>
          <w:i/>
          <w:sz w:val="24"/>
          <w:szCs w:val="24"/>
          <w:lang w:eastAsia="pl-PL"/>
        </w:rPr>
        <w:t>Wytycznymi</w:t>
      </w:r>
      <w:r w:rsidR="004B6648" w:rsidRPr="00AA44BA">
        <w:rPr>
          <w:rFonts w:ascii="Arial" w:hAnsi="Arial" w:cs="Arial"/>
          <w:i/>
          <w:sz w:val="24"/>
          <w:szCs w:val="24"/>
          <w:lang w:eastAsia="pl-PL"/>
        </w:rPr>
        <w:t xml:space="preserve"> – </w:t>
      </w:r>
      <w:r w:rsidR="004B6648" w:rsidRPr="00AA44BA">
        <w:rPr>
          <w:rFonts w:ascii="Arial" w:hAnsi="Arial" w:cs="Arial"/>
          <w:sz w:val="24"/>
          <w:szCs w:val="24"/>
          <w:lang w:eastAsia="pl-PL"/>
        </w:rPr>
        <w:t>cele, etapy i ogólna metodyka zostały przedstawione w Wytycznych – Podrozdział 6.1 - 6.3.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Analizę finansową przeprowadza się w oparciu o metodę DCF</w:t>
      </w:r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(zdyskontowane przepływy pieniężne – discounted cash flows)</w:t>
      </w:r>
      <w:r w:rsidRPr="00AA44B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W ramach analizy finansowej należy m.in.: 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 xml:space="preserve">określić założenia </w:t>
      </w:r>
      <w:r w:rsidR="004D4AB7" w:rsidRPr="00AA44BA">
        <w:rPr>
          <w:rFonts w:ascii="Arial" w:hAnsi="Arial" w:cs="Arial"/>
          <w:sz w:val="24"/>
          <w:szCs w:val="24"/>
        </w:rPr>
        <w:t>i metody do</w:t>
      </w:r>
      <w:r w:rsidRPr="00AA44BA">
        <w:rPr>
          <w:rFonts w:ascii="Arial" w:hAnsi="Arial" w:cs="Arial"/>
          <w:sz w:val="24"/>
          <w:szCs w:val="24"/>
        </w:rPr>
        <w:t xml:space="preserve">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zestawić przepływy pieniężne projektu dla każdego roku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określić źródła finansowania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ustalić wartości wskaźników efektywności finansowej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przeprowadzić analizę trwałości finansowej.</w:t>
      </w:r>
    </w:p>
    <w:p w:rsidR="00EC6185" w:rsidRPr="00EC6185" w:rsidRDefault="00EC6185" w:rsidP="00E56D9E">
      <w:pPr>
        <w:pStyle w:val="Nagwek2"/>
      </w:pPr>
      <w:bookmarkStart w:id="12" w:name="_Toc133056194"/>
      <w:r w:rsidRPr="00EC6185">
        <w:t>Założenia</w:t>
      </w:r>
      <w:r w:rsidR="004D4AB7">
        <w:t xml:space="preserve"> i metody</w:t>
      </w:r>
      <w:r w:rsidRPr="00EC6185">
        <w:t xml:space="preserve"> do analizy finansowej</w:t>
      </w:r>
      <w:bookmarkEnd w:id="12"/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w sposób opisowy zaprezentować podstawowe informacje stanowiące </w:t>
      </w:r>
      <w:r w:rsidR="00E60DF8" w:rsidRPr="00AA44BA">
        <w:rPr>
          <w:rFonts w:ascii="Arial" w:hAnsi="Arial" w:cs="Arial"/>
          <w:sz w:val="24"/>
          <w:szCs w:val="24"/>
        </w:rPr>
        <w:t>podstawę przeprowadzenia analiz</w:t>
      </w:r>
      <w:r w:rsidRPr="00AA44BA">
        <w:rPr>
          <w:rFonts w:ascii="Arial" w:hAnsi="Arial" w:cs="Arial"/>
          <w:sz w:val="24"/>
          <w:szCs w:val="24"/>
        </w:rPr>
        <w:t xml:space="preserve">, której metodologię zaprezentowano w </w:t>
      </w:r>
      <w:r w:rsidRPr="00AA44BA">
        <w:rPr>
          <w:rFonts w:ascii="Arial" w:hAnsi="Arial" w:cs="Arial"/>
          <w:iCs/>
          <w:sz w:val="24"/>
          <w:szCs w:val="24"/>
        </w:rPr>
        <w:t>Wytycznych</w:t>
      </w:r>
      <w:r w:rsidR="00E60DF8" w:rsidRPr="00AA44BA">
        <w:rPr>
          <w:rFonts w:ascii="Arial" w:hAnsi="Arial" w:cs="Arial"/>
          <w:iCs/>
          <w:sz w:val="24"/>
          <w:szCs w:val="24"/>
        </w:rPr>
        <w:t xml:space="preserve"> oraz wskazać wybraną metodę wraz z uzasadnieniem</w:t>
      </w:r>
      <w:r w:rsidRPr="00AA44BA">
        <w:rPr>
          <w:rFonts w:ascii="Arial" w:hAnsi="Arial" w:cs="Arial"/>
          <w:i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(</w:t>
      </w:r>
      <w:bookmarkStart w:id="13" w:name="_Hlk130192384"/>
      <w:r w:rsidR="00E60DF8" w:rsidRPr="00AA44BA">
        <w:rPr>
          <w:rFonts w:ascii="Arial" w:hAnsi="Arial" w:cs="Arial"/>
          <w:sz w:val="24"/>
          <w:szCs w:val="24"/>
        </w:rPr>
        <w:t>patrz: Wytyczne -</w:t>
      </w:r>
      <w:r w:rsidRPr="00AA44BA">
        <w:rPr>
          <w:rFonts w:ascii="Arial" w:hAnsi="Arial" w:cs="Arial"/>
          <w:sz w:val="24"/>
          <w:szCs w:val="24"/>
        </w:rPr>
        <w:t>Podrozdział 6.4</w:t>
      </w:r>
      <w:bookmarkEnd w:id="13"/>
      <w:r w:rsidR="00E60DF8" w:rsidRPr="00AA44BA">
        <w:rPr>
          <w:rFonts w:ascii="Arial" w:hAnsi="Arial" w:cs="Arial"/>
          <w:sz w:val="24"/>
          <w:szCs w:val="24"/>
        </w:rPr>
        <w:t>-6.5</w:t>
      </w:r>
      <w:r w:rsidRPr="00AA44BA">
        <w:rPr>
          <w:rFonts w:ascii="Arial" w:hAnsi="Arial" w:cs="Arial"/>
          <w:sz w:val="24"/>
          <w:szCs w:val="24"/>
        </w:rPr>
        <w:t>)</w:t>
      </w:r>
      <w:r w:rsidRPr="00AA44BA">
        <w:rPr>
          <w:rFonts w:ascii="Arial" w:hAnsi="Arial" w:cs="Arial"/>
          <w:i/>
          <w:sz w:val="24"/>
          <w:szCs w:val="24"/>
        </w:rPr>
        <w:t>.</w:t>
      </w:r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bCs/>
          <w:sz w:val="24"/>
          <w:szCs w:val="24"/>
          <w:lang w:eastAsia="x-none"/>
        </w:rPr>
        <w:t>Całkowity koszt projektu nie obejmuje ewentualnych rezerw na nieprzewidziane wydatki.</w:t>
      </w:r>
      <w:r w:rsidRPr="00AA44BA">
        <w:rPr>
          <w:rFonts w:ascii="Arial" w:hAnsi="Arial" w:cs="Arial"/>
          <w:sz w:val="24"/>
          <w:szCs w:val="24"/>
        </w:rPr>
        <w:t xml:space="preserve"> Analizę finansową przeprowadza się w cenach stałych. Nie dopuszcza się analizy w oparciu o ceny bieżące.</w:t>
      </w:r>
    </w:p>
    <w:p w:rsidR="00E60DF8" w:rsidRDefault="00EC6185" w:rsidP="00E56D9E">
      <w:pPr>
        <w:pStyle w:val="Nagwek2"/>
      </w:pPr>
      <w:r>
        <w:lastRenderedPageBreak/>
        <w:t xml:space="preserve"> </w:t>
      </w:r>
      <w:bookmarkStart w:id="14" w:name="_Toc133056195"/>
      <w:r w:rsidR="00E60DF8">
        <w:t>Określenie przychodów projektu, kalkulacja taryf</w:t>
      </w:r>
      <w:bookmarkEnd w:id="14"/>
    </w:p>
    <w:p w:rsidR="00D562E5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Wysokość taryf ustalających ceny za towary lub usługi zapewniane przez dany projekt jest, obok popytu, głównym czynnikiem pozwalającym określić poziom przychodów, jakie będą generowane w fazie operacyjnej projektu (patrz: Wytyczne - Podrozdział 6.6).</w:t>
      </w:r>
    </w:p>
    <w:p w:rsidR="00E60DF8" w:rsidRDefault="00E60DF8" w:rsidP="00E56D9E">
      <w:pPr>
        <w:pStyle w:val="Nagwek2"/>
      </w:pPr>
      <w:bookmarkStart w:id="15" w:name="_Toc133056196"/>
      <w:r>
        <w:t>Ustalenie wartości wskaźników efektywności finansowej projektu</w:t>
      </w:r>
      <w:bookmarkEnd w:id="15"/>
      <w:r>
        <w:t xml:space="preserve"> 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Ustalenie wartości wskaźników finansowej efektywności projektu dokonywane jest na podstawie przepływów pieniężnych określonych przy zastosowaniu metody standardowej bądź złożonej (patrz: Wytyczne - Podrozdział 6.5 oraz 6.7).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Dla wszystkich projektów inwestycyjnych należy wyliczyć wskaźniki, tj. FNPV/C i FRR/C oraz FNPV/K i FRR/K.</w:t>
      </w:r>
    </w:p>
    <w:p w:rsidR="00E60DF8" w:rsidRPr="00E60DF8" w:rsidRDefault="00E60DF8" w:rsidP="00E56D9E">
      <w:pPr>
        <w:pStyle w:val="Nagwek2"/>
      </w:pPr>
      <w:bookmarkStart w:id="16" w:name="_Toc133056197"/>
      <w:r>
        <w:t>Analiza trwałości finansowej</w:t>
      </w:r>
      <w:bookmarkEnd w:id="16"/>
      <w:r>
        <w:t xml:space="preserve"> </w:t>
      </w:r>
    </w:p>
    <w:p w:rsidR="00AA02A8" w:rsidRPr="00AA44BA" w:rsidRDefault="00E60DF8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Beneficjent powinien wykazać, iż dysponuje niezbędnymi zasobami, aby pokryć koszty eksploatacji i utrzymania inwestycji realizowanej w ramach projektu zarówno na etapie inwestycyjnym, jak i operacyjnym (patrz: Wytyczne - Podrozdział 6.8).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powinna obejmować: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zasobów finansowych projektu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sytuacji finansowej beneficjenta/operatora z projektem. 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trwałości finansowej przeprowadza się w wartościach niezdyskontowanych,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 oparciu o ceny stałe lub bieżącego, zależnie od tego, w jakich cena prowadzona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była analiza finansowa.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Przy analizie trwałości finansowej bierze się pod uwagę wszystkie przepływy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pieniężne, np. podatki bezpośrednio należy każdorazowo uwzględniać jako koszty.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Ponadto, w ramach analizy trwałości finansowej należy uwzględnić również wpływy na rzecz projektu, które nie stanowią przychodów, np. dotacje operacyjne.</w:t>
      </w:r>
    </w:p>
    <w:p w:rsidR="007C13D0" w:rsidRDefault="007C13D0" w:rsidP="002525B5">
      <w:pPr>
        <w:pStyle w:val="Nagwek1"/>
      </w:pPr>
      <w:bookmarkStart w:id="17" w:name="_Toc133056198"/>
      <w:r>
        <w:lastRenderedPageBreak/>
        <w:t>ANALIZA KOSZTÓW I KORZYŚCI</w:t>
      </w:r>
      <w:r w:rsidR="008E55B6">
        <w:t xml:space="preserve"> – ANALIZA EKONOMICZNA/ ANALIZA EFEKTYWNOŚCI KOSZTOWEJ</w:t>
      </w:r>
      <w:bookmarkEnd w:id="17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Sporządzanie analizy kosztów i korzyści wynika z konieczności oszacowania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kosztów i korzyści projektu z punktu widzenia całej społeczności. Analiza finansowa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wykonywana jest bowiem jedynie z perspektywy beneficjenta projektu.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przedstawić analizę ekonomiczną, czyli pełną formę analizy kosztów i korzyści. Szczegółowe wskazania co do metodyki analizy znajdują się w Wytycznych </w:t>
      </w:r>
      <w:bookmarkStart w:id="18" w:name="_Hlk130194025"/>
      <w:r w:rsidRPr="00AA44BA">
        <w:rPr>
          <w:rFonts w:ascii="Arial" w:hAnsi="Arial" w:cs="Arial"/>
          <w:sz w:val="24"/>
          <w:szCs w:val="24"/>
        </w:rPr>
        <w:t>(Podrozdział 7.1).</w:t>
      </w:r>
      <w:bookmarkEnd w:id="18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Ponadto należy wykonać analizę efektywności kosztowej jako element uzupełniający do analizy ekonomicznej (Podrozdział 7.2).W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ekonomiczną przeprowadza się w cenach stałych. Nie dopuszcza się analizy w oparciu o ceny bieżące.</w:t>
      </w:r>
    </w:p>
    <w:p w:rsidR="00600F43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/>
          <w:sz w:val="24"/>
          <w:szCs w:val="24"/>
        </w:rPr>
        <w:t>Szczegółowe informacje na temat metodyki przeprowadzania analizy kosztów i korzyści można znaleźć</w:t>
      </w:r>
      <w:r w:rsidR="008E55B6" w:rsidRPr="00AA44BA">
        <w:rPr>
          <w:rFonts w:ascii="Arial" w:hAnsi="Arial" w:cs="Arial"/>
          <w:sz w:val="24"/>
          <w:szCs w:val="24"/>
        </w:rPr>
        <w:t xml:space="preserve"> </w:t>
      </w:r>
      <w:r w:rsidR="008E55B6" w:rsidRPr="00AA44BA">
        <w:rPr>
          <w:rFonts w:ascii="Arial" w:hAnsi="Arial"/>
          <w:sz w:val="24"/>
          <w:szCs w:val="24"/>
        </w:rPr>
        <w:t>w Przewodniku AKK oraz Vademecum AE.</w:t>
      </w:r>
    </w:p>
    <w:p w:rsidR="007C13D0" w:rsidRDefault="007C13D0" w:rsidP="002525B5">
      <w:pPr>
        <w:pStyle w:val="Nagwek1"/>
      </w:pPr>
      <w:bookmarkStart w:id="19" w:name="_Toc133056199"/>
      <w:r>
        <w:t xml:space="preserve">ANALIZA RYZYKA I </w:t>
      </w:r>
      <w:r w:rsidR="008E55B6">
        <w:t xml:space="preserve">ANALIZA </w:t>
      </w:r>
      <w:r>
        <w:t>WRAŻLIWOŚCI</w:t>
      </w:r>
      <w:bookmarkEnd w:id="19"/>
      <w:r>
        <w:t xml:space="preserve"> </w:t>
      </w:r>
    </w:p>
    <w:p w:rsidR="00E02B64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Przeprowadzenie oceny ryzyka pozwala na oszacowanie trwałości finansowej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inwestycji finansowanej z funduszy UE. Powinna wykazać, czy określone czynniki ryzyka nie spowodują utraty płynności finansowej lub efektywności ekonomicznej projektu.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lastRenderedPageBreak/>
        <w:t>Zmienne poddane analizie w ramach analizy wrażliwości mogą zostać dobrane przez Wnioskodawcę w sposób odpowiadający specyfice projektu, sektora, beneficjenta/operatora.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Jakościowa analiza ryzyka obejmować powinna opis sposobu zdefiniowania kategorii prawdopodobieństwa oraz wskazania, po czyjej stronie znajduje się ryzyko.</w:t>
      </w:r>
    </w:p>
    <w:p w:rsidR="00E02B64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Szczegółowe informacje na temat analiz przeprowadzanych w ramach o</w:t>
      </w:r>
      <w:r w:rsidR="00E02B64" w:rsidRPr="00AA44BA">
        <w:rPr>
          <w:rFonts w:ascii="Arial" w:hAnsi="Arial" w:cs="Arial"/>
          <w:sz w:val="24"/>
          <w:szCs w:val="24"/>
        </w:rPr>
        <w:t>ceny ryzyka zawierają Wytyczne (Rozdział 8) oraz</w:t>
      </w:r>
      <w:r w:rsidRPr="00AA44BA">
        <w:rPr>
          <w:rFonts w:ascii="Arial" w:hAnsi="Arial" w:cs="Arial"/>
          <w:sz w:val="24"/>
          <w:szCs w:val="24"/>
        </w:rPr>
        <w:t xml:space="preserve"> w Przewodniku AKK</w:t>
      </w:r>
      <w:r w:rsidR="00E02B64" w:rsidRPr="00AA44BA">
        <w:rPr>
          <w:rFonts w:ascii="Arial" w:hAnsi="Arial" w:cs="Arial"/>
          <w:sz w:val="24"/>
          <w:szCs w:val="24"/>
        </w:rPr>
        <w:t>.</w:t>
      </w:r>
    </w:p>
    <w:p w:rsidR="007043CC" w:rsidRPr="00AA44BA" w:rsidRDefault="007043CC" w:rsidP="00AA44BA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Studium wykonalności powinno zawierać informację o osobie oraz firmie, która je wykonała.</w:t>
      </w:r>
    </w:p>
    <w:p w:rsidR="007043CC" w:rsidRPr="00AA44BA" w:rsidRDefault="007043CC" w:rsidP="00AA44BA">
      <w:pPr>
        <w:spacing w:before="96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Autor opracowania: imię i nazwisko: ………………………………………………</w:t>
      </w:r>
      <w:r w:rsidR="00AA44BA">
        <w:rPr>
          <w:rFonts w:ascii="Arial" w:hAnsi="Arial" w:cs="Arial"/>
          <w:sz w:val="24"/>
          <w:szCs w:val="24"/>
        </w:rPr>
        <w:t>…</w:t>
      </w:r>
      <w:r w:rsidRPr="00AA44BA">
        <w:rPr>
          <w:rFonts w:ascii="Arial" w:hAnsi="Arial" w:cs="Arial"/>
          <w:sz w:val="24"/>
          <w:szCs w:val="24"/>
        </w:rPr>
        <w:t>…</w:t>
      </w:r>
    </w:p>
    <w:p w:rsidR="007043CC" w:rsidRPr="00AA44BA" w:rsidRDefault="007043CC" w:rsidP="002525B5">
      <w:pPr>
        <w:pStyle w:val="Nagwek3"/>
        <w:spacing w:before="0" w:after="120"/>
        <w:rPr>
          <w:rFonts w:eastAsiaTheme="minorHAnsi" w:cs="Arial"/>
        </w:rPr>
      </w:pPr>
      <w:r w:rsidRPr="00AA44BA">
        <w:rPr>
          <w:rFonts w:eastAsiaTheme="minorHAnsi" w:cs="Arial"/>
        </w:rPr>
        <w:t>Firma: ……………………………………………………………….............................</w:t>
      </w:r>
      <w:r w:rsidR="00AA44BA">
        <w:rPr>
          <w:rFonts w:eastAsiaTheme="minorHAnsi" w:cs="Arial"/>
        </w:rPr>
        <w:t>.</w:t>
      </w:r>
      <w:r w:rsidRPr="00AA44BA">
        <w:rPr>
          <w:rFonts w:eastAsiaTheme="minorHAnsi" w:cs="Arial"/>
        </w:rPr>
        <w:t>...</w:t>
      </w:r>
    </w:p>
    <w:sectPr w:rsidR="007043CC" w:rsidRPr="00AA44BA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54" w:rsidRDefault="00135B54" w:rsidP="007C13D0">
      <w:pPr>
        <w:spacing w:after="0" w:line="240" w:lineRule="auto"/>
      </w:pPr>
      <w:r>
        <w:separator/>
      </w:r>
    </w:p>
  </w:endnote>
  <w:endnote w:type="continuationSeparator" w:id="0">
    <w:p w:rsidR="00135B54" w:rsidRDefault="00135B54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683643"/>
      <w:docPartObj>
        <w:docPartGallery w:val="Page Numbers (Bottom of Page)"/>
        <w:docPartUnique/>
      </w:docPartObj>
    </w:sdtPr>
    <w:sdtEndPr/>
    <w:sdtContent>
      <w:p w:rsidR="007043CC" w:rsidRDefault="007043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22C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54" w:rsidRDefault="00135B54" w:rsidP="007C13D0">
      <w:pPr>
        <w:spacing w:after="0" w:line="240" w:lineRule="auto"/>
      </w:pPr>
      <w:r>
        <w:separator/>
      </w:r>
    </w:p>
  </w:footnote>
  <w:footnote w:type="continuationSeparator" w:id="0">
    <w:p w:rsidR="00135B54" w:rsidRDefault="00135B54" w:rsidP="007C13D0">
      <w:pPr>
        <w:spacing w:after="0" w:line="240" w:lineRule="auto"/>
      </w:pPr>
      <w:r>
        <w:continuationSeparator/>
      </w:r>
    </w:p>
  </w:footnote>
  <w:footnote w:id="1">
    <w:p w:rsidR="00A7355C" w:rsidRPr="00CB32D9" w:rsidRDefault="00A7355C" w:rsidP="002525B5">
      <w:pPr>
        <w:pStyle w:val="Tekstprzypisudolnego"/>
        <w:spacing w:line="276" w:lineRule="auto"/>
        <w:rPr>
          <w:rFonts w:ascii="Arial" w:hAnsi="Arial" w:cs="Arial"/>
        </w:rPr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Dokument (w wersji angielskojęzycznej oraz polskojęzycznej [robocze tłumaczenie MFiPR])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jest 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tym hybrydowych na lata 2021-2027</w:t>
      </w:r>
    </w:p>
  </w:footnote>
  <w:footnote w:id="2">
    <w:p w:rsidR="00A7355C" w:rsidRDefault="00A7355C" w:rsidP="002525B5">
      <w:pPr>
        <w:pStyle w:val="Tekstprzypisudolnego"/>
        <w:spacing w:line="276" w:lineRule="auto"/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</w:t>
      </w:r>
      <w:r w:rsidR="00D562E5">
        <w:rPr>
          <w:rFonts w:ascii="Arial" w:hAnsi="Arial" w:cs="Arial"/>
        </w:rPr>
        <w:t>ym hybrydowych na lata 2021-2027</w:t>
      </w:r>
    </w:p>
  </w:footnote>
  <w:footnote w:id="3">
    <w:p w:rsidR="00AA02A8" w:rsidRDefault="00AA02A8" w:rsidP="002C02B9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 przypadku przyjęcia wariantu bezinwestycyjnego, dodatkowy koszt netto można w przybliżeniu</w:t>
      </w:r>
      <w:r>
        <w:t xml:space="preserve"> </w:t>
      </w:r>
      <w:r>
        <w:rPr>
          <w:rFonts w:ascii="Arial" w:hAnsi="Arial" w:cs="Arial"/>
        </w:rPr>
        <w:t>określić jako ujemną wartość bieżącą netto projektu w wariancie faktycznym bez dofinansowania w całym</w:t>
      </w:r>
      <w:r>
        <w:t xml:space="preserve"> </w:t>
      </w:r>
      <w:r>
        <w:rPr>
          <w:rFonts w:ascii="Arial" w:hAnsi="Arial" w:cs="Arial"/>
        </w:rPr>
        <w:t>okresie realizacji projektu (tym samym pośrednio zakładając, że wartość bieżąca netto w scenariuszu</w:t>
      </w:r>
      <w:r>
        <w:t xml:space="preserve"> </w:t>
      </w:r>
      <w:r>
        <w:rPr>
          <w:rFonts w:ascii="Arial" w:hAnsi="Arial" w:cs="Arial"/>
        </w:rPr>
        <w:t>alternatywnym wynosi zero).</w:t>
      </w:r>
    </w:p>
  </w:footnote>
  <w:footnote w:id="4"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Style w:val="Odwoanieprzypisudolnego"/>
          <w:rFonts w:ascii="Arial" w:hAnsi="Arial" w:cs="Arial"/>
        </w:rPr>
        <w:footnoteRef/>
      </w:r>
      <w:r w:rsidRPr="002C02B9">
        <w:rPr>
          <w:rFonts w:ascii="Arial" w:hAnsi="Arial" w:cs="Arial"/>
        </w:rPr>
        <w:t xml:space="preserve"> Przedmiotowe rozwiązanie znajdzie zastosowanie w odniesieniu do projektów, w których – z uwagi na</w:t>
      </w:r>
      <w:r>
        <w:rPr>
          <w:rFonts w:ascii="Arial" w:hAnsi="Arial" w:cs="Arial"/>
        </w:rPr>
        <w:t xml:space="preserve"> </w:t>
      </w:r>
      <w:r w:rsidRPr="002C02B9">
        <w:rPr>
          <w:rFonts w:ascii="Arial" w:hAnsi="Arial" w:cs="Arial"/>
        </w:rPr>
        <w:t>brak reprezentatywnych danych – nie ma możliwości przeprowadzenia analizy według kryteriów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ilościowych. Może to dotyczyć m.in. projektów w zakresie bezpieczeństwa w transporcie, w których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obliczenia w analizie opcji musiałyby być oparte na oszacowaniu prawdopodobieństwa wystąpienia</w:t>
      </w:r>
    </w:p>
    <w:p w:rsidR="00AA02A8" w:rsidRDefault="00AA02A8" w:rsidP="002C02B9">
      <w:pPr>
        <w:pStyle w:val="Tekstprzypisudolnego"/>
        <w:spacing w:line="360" w:lineRule="auto"/>
      </w:pPr>
      <w:r w:rsidRPr="002C02B9">
        <w:rPr>
          <w:rFonts w:ascii="Arial" w:hAnsi="Arial" w:cs="Arial"/>
        </w:rPr>
        <w:t>wypadku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A8" w:rsidRDefault="00AA02A8">
    <w:pPr>
      <w:pStyle w:val="Nagwek"/>
    </w:pPr>
    <w:r>
      <w:rPr>
        <w:noProof/>
        <w:lang w:eastAsia="pl-PL"/>
      </w:rPr>
      <w:drawing>
        <wp:inline distT="0" distB="0" distL="0" distR="0" wp14:anchorId="48333BD7" wp14:editId="708B77CD">
          <wp:extent cx="5760720" cy="612154"/>
          <wp:effectExtent l="0" t="0" r="0" b="0"/>
          <wp:docPr id="2" name="Obraz 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5A77"/>
    <w:multiLevelType w:val="hybridMultilevel"/>
    <w:tmpl w:val="9FA2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3BC"/>
    <w:multiLevelType w:val="hybridMultilevel"/>
    <w:tmpl w:val="4202D860"/>
    <w:lvl w:ilvl="0" w:tplc="D0B4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73B3"/>
    <w:multiLevelType w:val="hybridMultilevel"/>
    <w:tmpl w:val="DD34C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F2C58"/>
    <w:multiLevelType w:val="hybridMultilevel"/>
    <w:tmpl w:val="AF304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034"/>
    <w:multiLevelType w:val="hybridMultilevel"/>
    <w:tmpl w:val="8978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15B1A"/>
    <w:multiLevelType w:val="hybridMultilevel"/>
    <w:tmpl w:val="9CB2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E5BB0"/>
    <w:multiLevelType w:val="hybridMultilevel"/>
    <w:tmpl w:val="3C5C0D3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462E1050"/>
    <w:multiLevelType w:val="hybridMultilevel"/>
    <w:tmpl w:val="E1BE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151A"/>
    <w:multiLevelType w:val="hybridMultilevel"/>
    <w:tmpl w:val="71EC0306"/>
    <w:lvl w:ilvl="0" w:tplc="7C5C5AE8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E3DB6"/>
    <w:multiLevelType w:val="hybridMultilevel"/>
    <w:tmpl w:val="82C89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BFE"/>
    <w:multiLevelType w:val="hybridMultilevel"/>
    <w:tmpl w:val="75CEF8AA"/>
    <w:lvl w:ilvl="0" w:tplc="C930D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E3EFB"/>
    <w:multiLevelType w:val="hybridMultilevel"/>
    <w:tmpl w:val="28581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D24BD"/>
    <w:multiLevelType w:val="hybridMultilevel"/>
    <w:tmpl w:val="3C248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64B"/>
    <w:multiLevelType w:val="hybridMultilevel"/>
    <w:tmpl w:val="95EAD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14435"/>
    <w:multiLevelType w:val="hybridMultilevel"/>
    <w:tmpl w:val="D33E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745A5"/>
    <w:multiLevelType w:val="hybridMultilevel"/>
    <w:tmpl w:val="0B1A3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C4528"/>
    <w:multiLevelType w:val="hybridMultilevel"/>
    <w:tmpl w:val="C48C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809C7"/>
    <w:multiLevelType w:val="hybridMultilevel"/>
    <w:tmpl w:val="77B24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94192"/>
    <w:multiLevelType w:val="hybridMultilevel"/>
    <w:tmpl w:val="87AC71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510806"/>
    <w:multiLevelType w:val="hybridMultilevel"/>
    <w:tmpl w:val="92427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325DA"/>
    <w:multiLevelType w:val="hybridMultilevel"/>
    <w:tmpl w:val="B6D0E09C"/>
    <w:lvl w:ilvl="0" w:tplc="35EC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A510C"/>
    <w:multiLevelType w:val="hybridMultilevel"/>
    <w:tmpl w:val="217AB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223E0"/>
    <w:multiLevelType w:val="hybridMultilevel"/>
    <w:tmpl w:val="0FB25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E20AC"/>
    <w:multiLevelType w:val="hybridMultilevel"/>
    <w:tmpl w:val="3CC4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B5A0F"/>
    <w:multiLevelType w:val="hybridMultilevel"/>
    <w:tmpl w:val="51A6C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16"/>
  </w:num>
  <w:num w:numId="9">
    <w:abstractNumId w:val="2"/>
  </w:num>
  <w:num w:numId="10">
    <w:abstractNumId w:val="0"/>
  </w:num>
  <w:num w:numId="11">
    <w:abstractNumId w:val="20"/>
  </w:num>
  <w:num w:numId="12">
    <w:abstractNumId w:val="8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13"/>
  </w:num>
  <w:num w:numId="16">
    <w:abstractNumId w:val="21"/>
  </w:num>
  <w:num w:numId="17">
    <w:abstractNumId w:val="7"/>
  </w:num>
  <w:num w:numId="18">
    <w:abstractNumId w:val="1"/>
  </w:num>
  <w:num w:numId="19">
    <w:abstractNumId w:val="15"/>
  </w:num>
  <w:num w:numId="20">
    <w:abstractNumId w:val="24"/>
  </w:num>
  <w:num w:numId="21">
    <w:abstractNumId w:val="4"/>
  </w:num>
  <w:num w:numId="22">
    <w:abstractNumId w:val="5"/>
  </w:num>
  <w:num w:numId="23">
    <w:abstractNumId w:val="23"/>
  </w:num>
  <w:num w:numId="24">
    <w:abstractNumId w:val="17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D3592"/>
    <w:rsid w:val="00135B54"/>
    <w:rsid w:val="001B2555"/>
    <w:rsid w:val="00234699"/>
    <w:rsid w:val="002525B5"/>
    <w:rsid w:val="002C02B9"/>
    <w:rsid w:val="002D7E2D"/>
    <w:rsid w:val="003401C9"/>
    <w:rsid w:val="00375FA4"/>
    <w:rsid w:val="003C6795"/>
    <w:rsid w:val="00426F21"/>
    <w:rsid w:val="00463DB8"/>
    <w:rsid w:val="004B438E"/>
    <w:rsid w:val="004B6648"/>
    <w:rsid w:val="004D4AB7"/>
    <w:rsid w:val="004E355F"/>
    <w:rsid w:val="005A0E5B"/>
    <w:rsid w:val="00600F43"/>
    <w:rsid w:val="006015BE"/>
    <w:rsid w:val="007043CC"/>
    <w:rsid w:val="007348FA"/>
    <w:rsid w:val="007C13D0"/>
    <w:rsid w:val="007D400C"/>
    <w:rsid w:val="008B4FA7"/>
    <w:rsid w:val="008E55B6"/>
    <w:rsid w:val="00A15BCC"/>
    <w:rsid w:val="00A3326E"/>
    <w:rsid w:val="00A7355C"/>
    <w:rsid w:val="00AA02A8"/>
    <w:rsid w:val="00AA44BA"/>
    <w:rsid w:val="00B45CE6"/>
    <w:rsid w:val="00B74675"/>
    <w:rsid w:val="00BC7A92"/>
    <w:rsid w:val="00C8522C"/>
    <w:rsid w:val="00C92D3C"/>
    <w:rsid w:val="00CB32D9"/>
    <w:rsid w:val="00CB35D7"/>
    <w:rsid w:val="00D2134F"/>
    <w:rsid w:val="00D562E5"/>
    <w:rsid w:val="00E02B64"/>
    <w:rsid w:val="00E56D9E"/>
    <w:rsid w:val="00E60DF8"/>
    <w:rsid w:val="00EC1B9A"/>
    <w:rsid w:val="00EC6185"/>
    <w:rsid w:val="00F920C3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25B5"/>
    <w:pPr>
      <w:keepNext/>
      <w:keepLines/>
      <w:numPr>
        <w:numId w:val="2"/>
      </w:numPr>
      <w:spacing w:before="360" w:after="240" w:line="360" w:lineRule="auto"/>
      <w:ind w:left="714" w:hanging="357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56D9E"/>
    <w:pPr>
      <w:keepNext/>
      <w:keepLines/>
      <w:spacing w:before="240" w:after="200" w:line="360" w:lineRule="auto"/>
      <w:outlineLvl w:val="1"/>
    </w:pPr>
    <w:rPr>
      <w:rFonts w:ascii="Arial" w:eastAsiaTheme="majorEastAsia" w:hAnsi="Arial" w:cs="Arial"/>
      <w:b/>
      <w:color w:val="0070C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D3592"/>
    <w:pPr>
      <w:spacing w:before="240"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5B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6D9E"/>
    <w:rPr>
      <w:rFonts w:ascii="Arial" w:eastAsiaTheme="majorEastAsia" w:hAnsi="Arial" w:cs="Arial"/>
      <w:b/>
      <w:color w:val="0070C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3592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E02B64"/>
    <w:pPr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E02B64"/>
    <w:pPr>
      <w:tabs>
        <w:tab w:val="right" w:leader="dot" w:pos="9062"/>
      </w:tabs>
      <w:spacing w:after="0" w:line="360" w:lineRule="auto"/>
      <w:ind w:left="220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F22D-D556-4351-8B26-6B8E9A5A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2224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</vt:lpstr>
    </vt:vector>
  </TitlesOfParts>
  <Company/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</dc:title>
  <dc:subject/>
  <dc:creator>Emilia Calak-Kłoda</dc:creator>
  <cp:keywords/>
  <dc:description/>
  <cp:lastModifiedBy>Konto Microsoft</cp:lastModifiedBy>
  <cp:revision>6</cp:revision>
  <cp:lastPrinted>2023-07-11T08:04:00Z</cp:lastPrinted>
  <dcterms:created xsi:type="dcterms:W3CDTF">2023-06-06T14:41:00Z</dcterms:created>
  <dcterms:modified xsi:type="dcterms:W3CDTF">2023-10-29T22:19:00Z</dcterms:modified>
</cp:coreProperties>
</file>