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2359" w14:textId="4AEDF668" w:rsidR="005A3705" w:rsidRPr="00A02AC1" w:rsidRDefault="00FC4988" w:rsidP="005B25B0">
      <w:pPr>
        <w:keepNext/>
        <w:spacing w:after="0"/>
        <w:jc w:val="right"/>
        <w:outlineLvl w:val="1"/>
        <w:rPr>
          <w:rFonts w:ascii="Arial" w:eastAsia="Times New Roman" w:hAnsi="Arial" w:cs="Arial"/>
          <w:b/>
          <w:bCs/>
          <w:iCs/>
          <w:sz w:val="24"/>
          <w:szCs w:val="24"/>
        </w:rPr>
      </w:pPr>
      <w:r>
        <w:rPr>
          <w:rFonts w:ascii="Arial" w:eastAsia="Times New Roman" w:hAnsi="Arial" w:cs="Arial"/>
          <w:b/>
          <w:bCs/>
          <w:iCs/>
          <w:sz w:val="24"/>
          <w:szCs w:val="24"/>
        </w:rPr>
        <w:t>Załącznik nr 5</w:t>
      </w:r>
      <w:r w:rsidR="005A3705" w:rsidRPr="00A02AC1">
        <w:rPr>
          <w:rFonts w:ascii="Arial" w:eastAsia="Times New Roman" w:hAnsi="Arial" w:cs="Arial"/>
          <w:b/>
          <w:bCs/>
          <w:iCs/>
          <w:sz w:val="24"/>
          <w:szCs w:val="24"/>
        </w:rPr>
        <w:t xml:space="preserve"> do Regulaminu wyboru projektów</w:t>
      </w:r>
      <w:r w:rsidR="00A02AC1">
        <w:rPr>
          <w:rFonts w:ascii="Arial" w:eastAsia="Times New Roman" w:hAnsi="Arial" w:cs="Arial"/>
          <w:b/>
          <w:bCs/>
          <w:iCs/>
          <w:sz w:val="24"/>
          <w:szCs w:val="24"/>
        </w:rPr>
        <w:t xml:space="preserve"> </w:t>
      </w:r>
      <w:r w:rsidR="005B25B0">
        <w:rPr>
          <w:rFonts w:ascii="Arial" w:eastAsia="Times New Roman" w:hAnsi="Arial" w:cs="Arial"/>
          <w:b/>
          <w:bCs/>
          <w:iCs/>
          <w:sz w:val="24"/>
          <w:szCs w:val="24"/>
        </w:rPr>
        <w:t>dla naboru</w:t>
      </w:r>
      <w:r w:rsidR="00041EB0">
        <w:rPr>
          <w:rFonts w:ascii="Arial" w:eastAsia="Times New Roman" w:hAnsi="Arial" w:cs="Arial"/>
          <w:b/>
          <w:bCs/>
          <w:iCs/>
          <w:sz w:val="24"/>
          <w:szCs w:val="24"/>
        </w:rPr>
        <w:t xml:space="preserve"> FELD.09.01</w:t>
      </w:r>
      <w:r w:rsidR="005B25B0">
        <w:rPr>
          <w:rFonts w:ascii="Arial" w:eastAsia="Times New Roman" w:hAnsi="Arial" w:cs="Arial"/>
          <w:b/>
          <w:bCs/>
          <w:iCs/>
          <w:sz w:val="24"/>
          <w:szCs w:val="24"/>
        </w:rPr>
        <w:t>-IZ.00-002</w:t>
      </w:r>
      <w:r w:rsidR="005A3705" w:rsidRPr="00A02AC1">
        <w:rPr>
          <w:rFonts w:ascii="Arial" w:eastAsia="Times New Roman" w:hAnsi="Arial" w:cs="Arial"/>
          <w:b/>
          <w:bCs/>
          <w:iCs/>
          <w:sz w:val="24"/>
          <w:szCs w:val="24"/>
        </w:rPr>
        <w:t>/23</w:t>
      </w:r>
    </w:p>
    <w:p w14:paraId="3A4E05A4" w14:textId="26A5C4C3" w:rsidR="005A3705" w:rsidRPr="003248F2" w:rsidRDefault="005A3705" w:rsidP="00FF6DD2">
      <w:pPr>
        <w:keepNext/>
        <w:spacing w:after="0"/>
        <w:outlineLvl w:val="1"/>
        <w:rPr>
          <w:rFonts w:ascii="Arial" w:eastAsia="Times New Roman" w:hAnsi="Arial" w:cs="Arial"/>
          <w:bCs/>
          <w:iCs/>
          <w:sz w:val="24"/>
          <w:szCs w:val="24"/>
        </w:rPr>
      </w:pPr>
    </w:p>
    <w:p w14:paraId="407A331F" w14:textId="77777777" w:rsidR="005A3705" w:rsidRPr="003248F2" w:rsidRDefault="005A3705" w:rsidP="00FF6DD2">
      <w:pPr>
        <w:keepNext/>
        <w:spacing w:after="0"/>
        <w:outlineLvl w:val="1"/>
        <w:rPr>
          <w:rFonts w:ascii="Arial" w:eastAsia="Times New Roman" w:hAnsi="Arial" w:cs="Arial"/>
          <w:bCs/>
          <w:iCs/>
          <w:sz w:val="24"/>
          <w:szCs w:val="24"/>
        </w:rPr>
      </w:pPr>
    </w:p>
    <w:p w14:paraId="6E7A05F5" w14:textId="793E776D" w:rsidR="006E56AA" w:rsidRDefault="006E56AA" w:rsidP="005B25B0">
      <w:pPr>
        <w:keepNext/>
        <w:spacing w:after="120"/>
        <w:outlineLvl w:val="1"/>
        <w:rPr>
          <w:rFonts w:ascii="Arial" w:eastAsia="Times New Roman" w:hAnsi="Arial" w:cs="Arial"/>
          <w:b/>
          <w:bCs/>
          <w:iCs/>
          <w:sz w:val="24"/>
          <w:szCs w:val="24"/>
        </w:rPr>
      </w:pPr>
      <w:r w:rsidRPr="003248F2">
        <w:rPr>
          <w:rFonts w:ascii="Arial" w:eastAsia="Times New Roman" w:hAnsi="Arial" w:cs="Arial"/>
          <w:b/>
          <w:bCs/>
          <w:iCs/>
          <w:sz w:val="24"/>
          <w:szCs w:val="24"/>
        </w:rPr>
        <w:t xml:space="preserve">Lista definicji wskaźników zawartych w Szczegółowym Opisie Priorytetów Programu Fundusze Europejskie dla Łódzkiego </w:t>
      </w:r>
      <w:r w:rsidRPr="003248F2">
        <w:rPr>
          <w:rFonts w:ascii="Arial" w:eastAsia="Times New Roman" w:hAnsi="Arial" w:cs="Arial"/>
          <w:b/>
          <w:bCs/>
          <w:iCs/>
          <w:sz w:val="24"/>
          <w:szCs w:val="24"/>
        </w:rPr>
        <w:br/>
        <w:t xml:space="preserve">2021-2027 </w:t>
      </w:r>
      <w:r w:rsidR="00A21C43" w:rsidRPr="003248F2">
        <w:rPr>
          <w:rFonts w:ascii="Arial" w:eastAsia="Times New Roman" w:hAnsi="Arial" w:cs="Arial"/>
          <w:b/>
          <w:bCs/>
          <w:iCs/>
          <w:sz w:val="24"/>
          <w:szCs w:val="24"/>
        </w:rPr>
        <w:t>dla</w:t>
      </w:r>
      <w:r w:rsidRPr="003248F2">
        <w:rPr>
          <w:rFonts w:ascii="Arial" w:eastAsia="Times New Roman" w:hAnsi="Arial" w:cs="Arial"/>
          <w:b/>
          <w:bCs/>
          <w:iCs/>
          <w:sz w:val="24"/>
          <w:szCs w:val="24"/>
        </w:rPr>
        <w:t xml:space="preserve"> Priorytetu </w:t>
      </w:r>
      <w:r w:rsidR="00A87712" w:rsidRPr="003248F2">
        <w:rPr>
          <w:rFonts w:ascii="Arial" w:eastAsia="Times New Roman" w:hAnsi="Arial" w:cs="Arial"/>
          <w:b/>
          <w:bCs/>
          <w:iCs/>
          <w:sz w:val="24"/>
          <w:szCs w:val="24"/>
        </w:rPr>
        <w:t>9</w:t>
      </w:r>
      <w:r w:rsidR="00AC1F99" w:rsidRPr="003248F2">
        <w:rPr>
          <w:rFonts w:ascii="Arial" w:eastAsia="Times New Roman" w:hAnsi="Arial" w:cs="Arial"/>
          <w:b/>
          <w:bCs/>
          <w:iCs/>
          <w:sz w:val="24"/>
          <w:szCs w:val="24"/>
        </w:rPr>
        <w:t xml:space="preserve"> Fundusze europejskie dla Ł</w:t>
      </w:r>
      <w:r w:rsidRPr="003248F2">
        <w:rPr>
          <w:rFonts w:ascii="Arial" w:eastAsia="Times New Roman" w:hAnsi="Arial" w:cs="Arial"/>
          <w:b/>
          <w:bCs/>
          <w:iCs/>
          <w:sz w:val="24"/>
          <w:szCs w:val="24"/>
        </w:rPr>
        <w:t>ódzkiego w transformacji</w:t>
      </w:r>
    </w:p>
    <w:p w14:paraId="4E45CA4A" w14:textId="0067B8A8" w:rsidR="005B25B0" w:rsidRPr="005B25B0" w:rsidRDefault="005B25B0" w:rsidP="005B25B0">
      <w:pPr>
        <w:keepNext/>
        <w:spacing w:after="0"/>
        <w:outlineLvl w:val="1"/>
        <w:rPr>
          <w:rFonts w:ascii="Arial" w:eastAsia="Times New Roman" w:hAnsi="Arial" w:cs="Arial"/>
          <w:b/>
          <w:bCs/>
          <w:iCs/>
          <w:sz w:val="24"/>
          <w:szCs w:val="24"/>
        </w:rPr>
      </w:pPr>
      <w:r>
        <w:rPr>
          <w:rFonts w:ascii="Arial" w:eastAsia="Times New Roman" w:hAnsi="Arial" w:cs="Arial"/>
          <w:b/>
          <w:bCs/>
          <w:iCs/>
          <w:sz w:val="24"/>
          <w:szCs w:val="24"/>
        </w:rPr>
        <w:t>Typ projektów</w:t>
      </w:r>
      <w:r w:rsidRPr="005B25B0">
        <w:rPr>
          <w:rFonts w:ascii="Arial" w:eastAsia="Times New Roman" w:hAnsi="Arial" w:cs="Arial"/>
          <w:b/>
          <w:bCs/>
          <w:iCs/>
          <w:sz w:val="24"/>
          <w:szCs w:val="24"/>
        </w:rPr>
        <w:t>: 1 - wsparcie infrastruktury badawczej lub aparatury badawczej niezbędnej do prowadzenia prac badawczo-rozwojowych</w:t>
      </w:r>
    </w:p>
    <w:p w14:paraId="41305C77" w14:textId="77777777" w:rsidR="00292143" w:rsidRPr="003248F2" w:rsidRDefault="00292143" w:rsidP="00FF6DD2">
      <w:pPr>
        <w:keepNext/>
        <w:spacing w:after="0"/>
        <w:outlineLvl w:val="1"/>
        <w:rPr>
          <w:rFonts w:ascii="Arial Narrow" w:eastAsia="Times New Roman" w:hAnsi="Arial Narrow"/>
          <w:b/>
          <w:bCs/>
          <w:i/>
          <w:iCs/>
          <w:sz w:val="24"/>
          <w:szCs w:val="24"/>
        </w:rPr>
      </w:pPr>
    </w:p>
    <w:tbl>
      <w:tblPr>
        <w:tblW w:w="14104" w:type="dxa"/>
        <w:tblCellMar>
          <w:left w:w="70" w:type="dxa"/>
          <w:right w:w="70" w:type="dxa"/>
        </w:tblCellMar>
        <w:tblLook w:val="00A0" w:firstRow="1" w:lastRow="0" w:firstColumn="1" w:lastColumn="0" w:noHBand="0" w:noVBand="0"/>
      </w:tblPr>
      <w:tblGrid>
        <w:gridCol w:w="809"/>
        <w:gridCol w:w="2818"/>
        <w:gridCol w:w="1941"/>
        <w:gridCol w:w="2265"/>
        <w:gridCol w:w="6271"/>
      </w:tblGrid>
      <w:tr w:rsidR="008877C8" w:rsidRPr="003248F2" w14:paraId="4654DD8A" w14:textId="77777777" w:rsidTr="00C35425">
        <w:trPr>
          <w:trHeight w:val="291"/>
          <w:tblHead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Lp.</w:t>
            </w:r>
          </w:p>
        </w:tc>
        <w:tc>
          <w:tcPr>
            <w:tcW w:w="2818"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Nazwa wskaźnika</w:t>
            </w:r>
          </w:p>
        </w:tc>
        <w:tc>
          <w:tcPr>
            <w:tcW w:w="1941"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Jednostka miary</w:t>
            </w:r>
          </w:p>
        </w:tc>
        <w:tc>
          <w:tcPr>
            <w:tcW w:w="2265"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Rodzaj wskaźnika</w:t>
            </w:r>
          </w:p>
        </w:tc>
        <w:tc>
          <w:tcPr>
            <w:tcW w:w="6271"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Definicja</w:t>
            </w:r>
          </w:p>
        </w:tc>
      </w:tr>
      <w:tr w:rsidR="00292143" w:rsidRPr="003248F2" w14:paraId="358A973B" w14:textId="77777777" w:rsidTr="000521ED">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3248F2" w:rsidRDefault="00043A17" w:rsidP="00FF6DD2">
            <w:pPr>
              <w:spacing w:after="0"/>
              <w:rPr>
                <w:rFonts w:ascii="Arial" w:hAnsi="Arial" w:cs="Arial"/>
                <w:b/>
                <w:sz w:val="24"/>
                <w:szCs w:val="24"/>
              </w:rPr>
            </w:pPr>
            <w:r w:rsidRPr="003248F2">
              <w:rPr>
                <w:rFonts w:ascii="Arial" w:hAnsi="Arial" w:cs="Arial"/>
                <w:b/>
                <w:sz w:val="24"/>
                <w:szCs w:val="24"/>
              </w:rPr>
              <w:t xml:space="preserve">Priorytet 9 </w:t>
            </w:r>
            <w:r w:rsidR="00AC1F99" w:rsidRPr="003248F2">
              <w:rPr>
                <w:rFonts w:ascii="Arial" w:hAnsi="Arial" w:cs="Arial"/>
                <w:b/>
                <w:sz w:val="24"/>
                <w:szCs w:val="24"/>
              </w:rPr>
              <w:t>Fundusze europejskie dla Ł</w:t>
            </w:r>
            <w:r w:rsidR="006E56AA" w:rsidRPr="003248F2">
              <w:rPr>
                <w:rFonts w:ascii="Arial" w:hAnsi="Arial" w:cs="Arial"/>
                <w:b/>
                <w:sz w:val="24"/>
                <w:szCs w:val="24"/>
              </w:rPr>
              <w:t>ódzkiego w transformacji</w:t>
            </w:r>
          </w:p>
        </w:tc>
      </w:tr>
      <w:tr w:rsidR="00FD6087" w:rsidRPr="003248F2" w14:paraId="39A312F4" w14:textId="77777777" w:rsidTr="004A1C55">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51028E06" w:rsidR="00FD6087" w:rsidRPr="003248F2" w:rsidRDefault="00041EB0" w:rsidP="00041EB0">
            <w:pPr>
              <w:spacing w:after="0"/>
              <w:rPr>
                <w:rFonts w:ascii="Arial" w:hAnsi="Arial" w:cs="Arial"/>
                <w:b/>
                <w:sz w:val="24"/>
                <w:szCs w:val="24"/>
              </w:rPr>
            </w:pPr>
            <w:r>
              <w:rPr>
                <w:rFonts w:ascii="Arial" w:hAnsi="Arial" w:cs="Arial"/>
                <w:b/>
                <w:sz w:val="24"/>
                <w:szCs w:val="24"/>
              </w:rPr>
              <w:t>Działanie FELD.09.01 Gospodarka</w:t>
            </w:r>
            <w:r w:rsidR="00FD6087" w:rsidRPr="003248F2">
              <w:rPr>
                <w:rFonts w:ascii="Arial" w:hAnsi="Arial" w:cs="Arial"/>
                <w:b/>
                <w:sz w:val="24"/>
                <w:szCs w:val="24"/>
              </w:rPr>
              <w:t xml:space="preserve"> w transformacji</w:t>
            </w:r>
          </w:p>
        </w:tc>
      </w:tr>
      <w:tr w:rsidR="00634E3B" w:rsidRPr="003248F2" w14:paraId="3D1EB37E" w14:textId="77777777" w:rsidTr="00C35425">
        <w:trPr>
          <w:trHeight w:val="1743"/>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634E3B" w:rsidRPr="003248F2" w:rsidRDefault="00634E3B" w:rsidP="00634E3B">
            <w:pPr>
              <w:spacing w:after="0"/>
              <w:rPr>
                <w:rFonts w:ascii="Arial" w:hAnsi="Arial" w:cs="Arial"/>
                <w:sz w:val="24"/>
                <w:szCs w:val="24"/>
              </w:rPr>
            </w:pPr>
            <w:r w:rsidRPr="003248F2">
              <w:rPr>
                <w:rFonts w:ascii="Arial" w:hAnsi="Arial" w:cs="Arial"/>
                <w:sz w:val="24"/>
                <w:szCs w:val="24"/>
              </w:rPr>
              <w:t>1</w:t>
            </w:r>
          </w:p>
        </w:tc>
        <w:tc>
          <w:tcPr>
            <w:tcW w:w="2818" w:type="dxa"/>
            <w:tcBorders>
              <w:top w:val="single" w:sz="4" w:space="0" w:color="auto"/>
              <w:left w:val="nil"/>
              <w:bottom w:val="single" w:sz="4" w:space="0" w:color="auto"/>
              <w:right w:val="single" w:sz="4" w:space="0" w:color="auto"/>
            </w:tcBorders>
            <w:shd w:val="clear" w:color="auto" w:fill="auto"/>
            <w:vAlign w:val="center"/>
          </w:tcPr>
          <w:p w14:paraId="1DA67B9E" w14:textId="6D98739B" w:rsidR="00634E3B" w:rsidRPr="003248F2" w:rsidRDefault="00871C0B" w:rsidP="00634E3B">
            <w:pPr>
              <w:spacing w:after="0"/>
              <w:rPr>
                <w:rFonts w:ascii="Arial" w:hAnsi="Arial" w:cs="Arial"/>
                <w:sz w:val="24"/>
                <w:szCs w:val="24"/>
              </w:rPr>
            </w:pPr>
            <w:r>
              <w:rPr>
                <w:rFonts w:ascii="Arial" w:hAnsi="Arial" w:cs="Arial"/>
                <w:sz w:val="24"/>
                <w:szCs w:val="24"/>
              </w:rPr>
              <w:t>WLWK</w:t>
            </w:r>
            <w:r>
              <w:rPr>
                <w:rFonts w:ascii="Arial" w:hAnsi="Arial" w:cs="Arial"/>
                <w:sz w:val="24"/>
                <w:szCs w:val="24"/>
              </w:rPr>
              <w:t xml:space="preserve">- </w:t>
            </w:r>
            <w:r w:rsidR="00634E3B" w:rsidRPr="00043A17">
              <w:rPr>
                <w:rFonts w:ascii="Arial" w:hAnsi="Arial" w:cs="Arial"/>
                <w:sz w:val="24"/>
                <w:szCs w:val="24"/>
              </w:rPr>
              <w:t>RCO002</w:t>
            </w:r>
            <w:r w:rsidR="00634E3B">
              <w:rPr>
                <w:rFonts w:ascii="Arial" w:hAnsi="Arial" w:cs="Arial"/>
                <w:sz w:val="24"/>
                <w:szCs w:val="24"/>
              </w:rPr>
              <w:t xml:space="preserve"> </w:t>
            </w:r>
            <w:r w:rsidR="00634E3B" w:rsidRPr="00043A17">
              <w:rPr>
                <w:rFonts w:ascii="Arial" w:hAnsi="Arial" w:cs="Arial"/>
                <w:sz w:val="24"/>
                <w:szCs w:val="24"/>
              </w:rPr>
              <w:t>Przedsiębiorstwa objęte wsparciem w formie dotacji</w:t>
            </w:r>
          </w:p>
        </w:tc>
        <w:tc>
          <w:tcPr>
            <w:tcW w:w="1941" w:type="dxa"/>
            <w:tcBorders>
              <w:top w:val="single" w:sz="4" w:space="0" w:color="auto"/>
              <w:left w:val="nil"/>
              <w:bottom w:val="single" w:sz="4" w:space="0" w:color="auto"/>
              <w:right w:val="single" w:sz="4" w:space="0" w:color="auto"/>
            </w:tcBorders>
            <w:shd w:val="clear" w:color="auto" w:fill="auto"/>
            <w:vAlign w:val="center"/>
          </w:tcPr>
          <w:p w14:paraId="16E11306" w14:textId="513A8735" w:rsidR="00634E3B" w:rsidRPr="003248F2" w:rsidRDefault="00634E3B" w:rsidP="00634E3B">
            <w:pPr>
              <w:spacing w:after="0"/>
              <w:rPr>
                <w:rFonts w:ascii="Arial" w:hAnsi="Arial" w:cs="Arial"/>
                <w:sz w:val="24"/>
                <w:szCs w:val="24"/>
              </w:rPr>
            </w:pPr>
            <w:r>
              <w:rPr>
                <w:rFonts w:ascii="Arial" w:hAnsi="Arial" w:cs="Arial"/>
                <w:sz w:val="24"/>
                <w:szCs w:val="24"/>
              </w:rPr>
              <w:t>przedsiębiorstwa</w:t>
            </w:r>
          </w:p>
        </w:tc>
        <w:tc>
          <w:tcPr>
            <w:tcW w:w="2265" w:type="dxa"/>
            <w:tcBorders>
              <w:top w:val="single" w:sz="4" w:space="0" w:color="auto"/>
              <w:left w:val="nil"/>
              <w:bottom w:val="single" w:sz="4" w:space="0" w:color="auto"/>
              <w:right w:val="single" w:sz="4" w:space="0" w:color="auto"/>
            </w:tcBorders>
            <w:shd w:val="clear" w:color="auto" w:fill="auto"/>
            <w:vAlign w:val="center"/>
          </w:tcPr>
          <w:p w14:paraId="53A3909D" w14:textId="4D61EDEB"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40F13F44"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Liczba przedsiębiorstw otrzymujących wsparcie finansowe w formie dotacji.</w:t>
            </w:r>
          </w:p>
          <w:p w14:paraId="0214E6F4"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w:t>
            </w:r>
          </w:p>
          <w:p w14:paraId="5962AD8C" w14:textId="77777777" w:rsidR="00AB721D" w:rsidRDefault="00634E3B" w:rsidP="00AB721D">
            <w:pPr>
              <w:spacing w:after="0" w:line="240" w:lineRule="auto"/>
              <w:rPr>
                <w:rFonts w:ascii="Arial" w:hAnsi="Arial" w:cs="Arial"/>
                <w:sz w:val="24"/>
                <w:szCs w:val="24"/>
              </w:rPr>
            </w:pPr>
            <w:r w:rsidRPr="00043A17">
              <w:rPr>
                <w:rFonts w:ascii="Arial" w:hAnsi="Arial" w:cs="Arial"/>
                <w:sz w:val="24"/>
                <w:szCs w:val="24"/>
              </w:rPr>
              <w:t xml:space="preserve">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w:t>
            </w:r>
            <w:r w:rsidRPr="00043A17">
              <w:rPr>
                <w:rFonts w:ascii="Arial" w:hAnsi="Arial" w:cs="Arial"/>
                <w:sz w:val="24"/>
                <w:szCs w:val="24"/>
              </w:rPr>
              <w:lastRenderedPageBreak/>
              <w:t>gospodarczą we własnym imieniu, takie jak właściciel i operator sklepu lub warsztatu, prawnik lub samozatrudniony rzemieślnik (ESTAT w odniesieniach, na podstawie rozporządzenia Rady (EWG) nr 696/93, sekcja III A z 15.03.1993 r.).</w:t>
            </w:r>
          </w:p>
          <w:p w14:paraId="42AAA5AC" w14:textId="77777777" w:rsidR="00AB721D" w:rsidRPr="0085721B" w:rsidRDefault="00AB721D" w:rsidP="00AB721D">
            <w:pPr>
              <w:spacing w:after="0" w:line="240" w:lineRule="auto"/>
              <w:rPr>
                <w:rFonts w:ascii="Arial" w:hAnsi="Arial" w:cs="Arial"/>
                <w:sz w:val="24"/>
                <w:szCs w:val="24"/>
              </w:rPr>
            </w:pPr>
            <w:r w:rsidRPr="0085721B">
              <w:rPr>
                <w:rFonts w:ascii="Arial" w:hAnsi="Arial" w:cs="Arial"/>
                <w:sz w:val="24"/>
                <w:szCs w:val="24"/>
              </w:rPr>
              <w:t>Przedsiębiorstwo w rozumieniu art. 1 załącznika I do rozporządzenia Komisji (UE) nr 651/2014 z dnia 17 czerwca 2014 roku uznającego niektóre rodzaje pomocy za zgodne z rynkiem wewnętrznym z zastosowaniem art.107 i 108 Traktatu jest rozumiane jako podmiot prowadzący działalność gospodarczą bez względu na jego formę prawną.</w:t>
            </w:r>
          </w:p>
          <w:p w14:paraId="27A2954C" w14:textId="77777777" w:rsidR="00AB721D" w:rsidRPr="00043A17" w:rsidRDefault="00AB721D" w:rsidP="00AB721D">
            <w:pPr>
              <w:spacing w:after="0" w:line="240" w:lineRule="auto"/>
              <w:rPr>
                <w:rFonts w:ascii="Arial" w:hAnsi="Arial" w:cs="Arial"/>
                <w:sz w:val="24"/>
                <w:szCs w:val="24"/>
              </w:rPr>
            </w:pPr>
            <w:r w:rsidRPr="0085721B">
              <w:rPr>
                <w:rFonts w:ascii="Arial" w:hAnsi="Arial" w:cs="Arial"/>
                <w:sz w:val="24"/>
                <w:szCs w:val="24"/>
              </w:rPr>
              <w:t>Zalicza się tu w szczególności osoby prowadzące działalność na własny rachunek oraz firmy rodzinne zajmujące się rzemiosłem lub inną działalnością, a także spółki lub stowarzyszenia prowadzące regularną działalność gospodarczą.</w:t>
            </w:r>
          </w:p>
          <w:p w14:paraId="44EFC328" w14:textId="7B1B1788" w:rsidR="00634E3B" w:rsidRPr="003248F2" w:rsidRDefault="00634E3B" w:rsidP="00AB721D">
            <w:pPr>
              <w:spacing w:after="0" w:line="240" w:lineRule="auto"/>
              <w:rPr>
                <w:rFonts w:ascii="Arial" w:hAnsi="Arial" w:cs="Arial"/>
                <w:sz w:val="24"/>
                <w:szCs w:val="24"/>
              </w:rPr>
            </w:pPr>
            <w:r w:rsidRPr="00043A17">
              <w:rPr>
                <w:rFonts w:ascii="Arial" w:hAnsi="Arial" w:cs="Arial"/>
                <w:sz w:val="24"/>
                <w:szCs w:val="24"/>
              </w:rPr>
              <w:t>Na potrzeby tego wskaźnika przedsiębiorstwa są organizacjami nastawionymi na osiąganie zysku, które wytwarzają towary lub usługi w celu zaspokojenia potrzeb rynku.</w:t>
            </w:r>
          </w:p>
        </w:tc>
      </w:tr>
      <w:tr w:rsidR="00634E3B" w:rsidRPr="003248F2" w14:paraId="73062640" w14:textId="77777777" w:rsidTr="00C35425">
        <w:trPr>
          <w:trHeight w:val="770"/>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2</w:t>
            </w:r>
          </w:p>
        </w:tc>
        <w:tc>
          <w:tcPr>
            <w:tcW w:w="2818" w:type="dxa"/>
            <w:tcBorders>
              <w:top w:val="single" w:sz="4" w:space="0" w:color="auto"/>
              <w:left w:val="nil"/>
              <w:bottom w:val="single" w:sz="4" w:space="0" w:color="auto"/>
              <w:right w:val="single" w:sz="4" w:space="0" w:color="auto"/>
            </w:tcBorders>
            <w:shd w:val="clear" w:color="auto" w:fill="auto"/>
            <w:vAlign w:val="center"/>
          </w:tcPr>
          <w:p w14:paraId="5E7FDA83" w14:textId="4031718A" w:rsidR="00634E3B" w:rsidRPr="003248F2" w:rsidRDefault="00175FB1"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PLRO001 Liczba wspartych mikroprzedsiębiorstw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69EEB033" w14:textId="4C4001AD"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04EA81DA" w14:textId="4E8D27E2"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183FE15F" w14:textId="15AFD8FD" w:rsidR="00634E3B" w:rsidRPr="00043A17" w:rsidRDefault="00634E3B" w:rsidP="00105AB1">
            <w:pPr>
              <w:spacing w:after="0" w:line="240" w:lineRule="auto"/>
              <w:rPr>
                <w:rFonts w:ascii="Arial" w:hAnsi="Arial" w:cs="Arial"/>
                <w:sz w:val="24"/>
                <w:szCs w:val="24"/>
              </w:rPr>
            </w:pPr>
            <w:r w:rsidRPr="00B65432">
              <w:rPr>
                <w:rFonts w:ascii="Arial" w:hAnsi="Arial" w:cs="Arial"/>
                <w:sz w:val="24"/>
                <w:szCs w:val="24"/>
              </w:rPr>
              <w:t>Wskaźnik obejmuje mikroprzedsiębiorstwa, które otrzymały wsparcie finansowe oraz pozafinansowe z Funduszu Sprawiedliwej Transformacji (FST).</w:t>
            </w:r>
            <w:r>
              <w:rPr>
                <w:rFonts w:ascii="Arial" w:hAnsi="Arial" w:cs="Arial"/>
                <w:sz w:val="24"/>
                <w:szCs w:val="24"/>
              </w:rPr>
              <w:t xml:space="preserve"> </w:t>
            </w:r>
            <w:r w:rsidRPr="00043A17">
              <w:rPr>
                <w:rFonts w:ascii="Arial" w:hAnsi="Arial" w:cs="Arial"/>
                <w:sz w:val="24"/>
                <w:szCs w:val="24"/>
              </w:rPr>
              <w:t xml:space="preserve">Definicja przedsiębiorstwa </w:t>
            </w:r>
            <w:r>
              <w:rPr>
                <w:rFonts w:ascii="Arial" w:hAnsi="Arial" w:cs="Arial"/>
                <w:sz w:val="24"/>
                <w:szCs w:val="24"/>
              </w:rPr>
              <w:t xml:space="preserve">zgodna z definicją </w:t>
            </w:r>
            <w:r w:rsidRPr="00043A17">
              <w:rPr>
                <w:rFonts w:ascii="Arial" w:hAnsi="Arial" w:cs="Arial"/>
                <w:sz w:val="24"/>
                <w:szCs w:val="24"/>
              </w:rPr>
              <w:t>wskaźnik</w:t>
            </w:r>
            <w:r>
              <w:rPr>
                <w:rFonts w:ascii="Arial" w:hAnsi="Arial" w:cs="Arial"/>
                <w:sz w:val="24"/>
                <w:szCs w:val="24"/>
              </w:rPr>
              <w:t>a</w:t>
            </w:r>
            <w:r w:rsidRPr="00043A17">
              <w:rPr>
                <w:rFonts w:ascii="Arial" w:hAnsi="Arial" w:cs="Arial"/>
                <w:sz w:val="24"/>
                <w:szCs w:val="24"/>
              </w:rPr>
              <w:t xml:space="preserve"> RCO002.</w:t>
            </w:r>
          </w:p>
          <w:p w14:paraId="65B5ABF0" w14:textId="1A41EC05"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mikroprzedsiębiorstwo to przedsiębiorstwo zatrudniające mniej niż 10 osób oraz którego roczny obrót lub/i roczny bilans nie przekracza 2 mln EUR.</w:t>
            </w:r>
            <w:r>
              <w:rPr>
                <w:rFonts w:ascii="Arial" w:hAnsi="Arial" w:cs="Arial"/>
                <w:sz w:val="24"/>
                <w:szCs w:val="24"/>
              </w:rPr>
              <w:t xml:space="preserve"> </w:t>
            </w:r>
            <w:r w:rsidRPr="00043A17">
              <w:rPr>
                <w:rFonts w:ascii="Arial" w:hAnsi="Arial" w:cs="Arial"/>
                <w:sz w:val="24"/>
                <w:szCs w:val="24"/>
              </w:rPr>
              <w:t xml:space="preserve">W przypadku </w:t>
            </w:r>
            <w:r w:rsidRPr="00043A17">
              <w:rPr>
                <w:rFonts w:ascii="Arial" w:hAnsi="Arial" w:cs="Arial"/>
                <w:sz w:val="24"/>
                <w:szCs w:val="24"/>
              </w:rPr>
              <w:lastRenderedPageBreak/>
              <w:t>przekroczenia jednego z dwóch progów</w:t>
            </w:r>
            <w:r>
              <w:rPr>
                <w:rFonts w:ascii="Arial" w:hAnsi="Arial" w:cs="Arial"/>
                <w:sz w:val="24"/>
                <w:szCs w:val="24"/>
              </w:rPr>
              <w:t xml:space="preserve"> </w:t>
            </w:r>
            <w:r w:rsidRPr="00043A17">
              <w:rPr>
                <w:rFonts w:ascii="Arial" w:hAnsi="Arial" w:cs="Arial"/>
                <w:sz w:val="24"/>
                <w:szCs w:val="24"/>
              </w:rPr>
              <w:t>(liczby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/bilansu)</w:t>
            </w:r>
            <w:r>
              <w:rPr>
                <w:rFonts w:ascii="Arial" w:hAnsi="Arial" w:cs="Arial"/>
                <w:sz w:val="24"/>
                <w:szCs w:val="24"/>
              </w:rPr>
              <w:t xml:space="preserve"> </w:t>
            </w:r>
            <w:r w:rsidRPr="00043A17">
              <w:rPr>
                <w:rFonts w:ascii="Arial" w:hAnsi="Arial" w:cs="Arial"/>
                <w:sz w:val="24"/>
                <w:szCs w:val="24"/>
              </w:rPr>
              <w:t>przedsiębiorstwa klasyfikuje się do wyższej kategorii wielkości (ESTAT na podstawie art. 2-3 załącznika do zalecenia KE 2003/361/WE).</w:t>
            </w:r>
          </w:p>
          <w:p w14:paraId="0591F965" w14:textId="7B6508D3"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Wielkość wspieranego przedsiębiorstwa jest definiowana na dzień złożenia wniosku o dofinansowanie.</w:t>
            </w:r>
          </w:p>
          <w:p w14:paraId="4C195E0C"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33843C32" w14:textId="0439E1B5" w:rsidR="00634E3B" w:rsidRPr="003248F2" w:rsidRDefault="00634E3B" w:rsidP="00105AB1">
            <w:pPr>
              <w:spacing w:after="0"/>
              <w:rPr>
                <w:rFonts w:ascii="Arial" w:hAnsi="Arial" w:cs="Arial"/>
                <w:sz w:val="24"/>
                <w:szCs w:val="24"/>
              </w:rPr>
            </w:pPr>
            <w:r w:rsidRPr="00043A17">
              <w:rPr>
                <w:rFonts w:ascii="Arial" w:hAnsi="Arial" w:cs="Arial"/>
                <w:sz w:val="24"/>
                <w:szCs w:val="24"/>
              </w:rPr>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634E3B" w:rsidRPr="003248F2" w14:paraId="4950F317" w14:textId="77777777" w:rsidTr="00C35425">
        <w:trPr>
          <w:trHeight w:val="1743"/>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3</w:t>
            </w:r>
          </w:p>
        </w:tc>
        <w:tc>
          <w:tcPr>
            <w:tcW w:w="2818" w:type="dxa"/>
            <w:tcBorders>
              <w:top w:val="single" w:sz="4" w:space="0" w:color="auto"/>
              <w:left w:val="nil"/>
              <w:bottom w:val="single" w:sz="4" w:space="0" w:color="auto"/>
              <w:right w:val="single" w:sz="4" w:space="0" w:color="auto"/>
            </w:tcBorders>
            <w:shd w:val="clear" w:color="auto" w:fill="auto"/>
            <w:vAlign w:val="center"/>
          </w:tcPr>
          <w:p w14:paraId="7F92CCBE" w14:textId="2564FCC5" w:rsidR="00634E3B" w:rsidRPr="003248F2" w:rsidRDefault="00967B85"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PLRO002 Liczba wspartych małych 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3DC59C6B" w14:textId="4868F206"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610E9766" w14:textId="7D199BEE"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7885F880" w14:textId="2E41EACF" w:rsidR="00634E3B" w:rsidRPr="00043A17" w:rsidRDefault="00634E3B" w:rsidP="00105AB1">
            <w:pPr>
              <w:spacing w:after="0" w:line="240" w:lineRule="auto"/>
              <w:rPr>
                <w:rFonts w:ascii="Arial" w:hAnsi="Arial" w:cs="Arial"/>
                <w:sz w:val="24"/>
                <w:szCs w:val="24"/>
              </w:rPr>
            </w:pPr>
            <w:r w:rsidRPr="00FF33E1">
              <w:rPr>
                <w:rFonts w:ascii="Arial" w:hAnsi="Arial" w:cs="Arial"/>
                <w:sz w:val="24"/>
                <w:szCs w:val="24"/>
              </w:rPr>
              <w:t xml:space="preserve">Wskaźnik obejmuje </w:t>
            </w:r>
            <w:r>
              <w:rPr>
                <w:rFonts w:ascii="Arial" w:hAnsi="Arial" w:cs="Arial"/>
                <w:sz w:val="24"/>
                <w:szCs w:val="24"/>
              </w:rPr>
              <w:t>małe przedsiębiorstwa</w:t>
            </w:r>
            <w:r w:rsidRPr="00FF33E1">
              <w:rPr>
                <w:rFonts w:ascii="Arial" w:hAnsi="Arial" w:cs="Arial"/>
                <w:sz w:val="24"/>
                <w:szCs w:val="24"/>
              </w:rPr>
              <w:t>, które otrzymały wsparcie finansowe oraz pozafinansowe z Funduszu Sprawiedliwej Transformacji (FST</w:t>
            </w:r>
            <w:proofErr w:type="gramStart"/>
            <w:r w:rsidRPr="00FF33E1">
              <w:rPr>
                <w:rFonts w:ascii="Arial" w:hAnsi="Arial" w:cs="Arial"/>
                <w:sz w:val="24"/>
                <w:szCs w:val="24"/>
              </w:rPr>
              <w:t>).</w:t>
            </w:r>
            <w:r w:rsidRPr="00043A17">
              <w:rPr>
                <w:rFonts w:ascii="Arial" w:hAnsi="Arial" w:cs="Arial"/>
                <w:sz w:val="24"/>
                <w:szCs w:val="24"/>
              </w:rPr>
              <w:t>Definicja</w:t>
            </w:r>
            <w:proofErr w:type="gramEnd"/>
            <w:r w:rsidRPr="00043A17">
              <w:rPr>
                <w:rFonts w:ascii="Arial" w:hAnsi="Arial" w:cs="Arial"/>
                <w:sz w:val="24"/>
                <w:szCs w:val="24"/>
              </w:rPr>
              <w:t xml:space="preserve"> przedsiębiorstwa </w:t>
            </w:r>
            <w:r>
              <w:rPr>
                <w:rFonts w:ascii="Arial" w:hAnsi="Arial" w:cs="Arial"/>
                <w:sz w:val="24"/>
                <w:szCs w:val="24"/>
              </w:rPr>
              <w:t>zgodna z definicją</w:t>
            </w:r>
            <w:r w:rsidRPr="00043A17">
              <w:rPr>
                <w:rFonts w:ascii="Arial" w:hAnsi="Arial" w:cs="Arial"/>
                <w:sz w:val="24"/>
                <w:szCs w:val="24"/>
              </w:rPr>
              <w:t xml:space="preserve"> wskaźnik</w:t>
            </w:r>
            <w:r>
              <w:rPr>
                <w:rFonts w:ascii="Arial" w:hAnsi="Arial" w:cs="Arial"/>
                <w:sz w:val="24"/>
                <w:szCs w:val="24"/>
              </w:rPr>
              <w:t xml:space="preserve">a </w:t>
            </w:r>
            <w:r w:rsidRPr="00043A17">
              <w:rPr>
                <w:rFonts w:ascii="Arial" w:hAnsi="Arial" w:cs="Arial"/>
                <w:sz w:val="24"/>
                <w:szCs w:val="24"/>
              </w:rPr>
              <w:t>RCO002.</w:t>
            </w:r>
          </w:p>
          <w:p w14:paraId="469B4F52" w14:textId="68DF04E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małe przedsiębiorstwo to przedsiębiorstwo zatrudniające od 10 do 49 osób oraz którego roczny obrót lub/i roczny bilans znajduje się w przedziale 2-10 mln EUR</w:t>
            </w:r>
            <w:r>
              <w:rPr>
                <w:rFonts w:ascii="Arial" w:hAnsi="Arial" w:cs="Arial"/>
                <w:sz w:val="24"/>
                <w:szCs w:val="24"/>
              </w:rPr>
              <w:t xml:space="preserve">. </w:t>
            </w:r>
            <w:r w:rsidRPr="00043A17">
              <w:rPr>
                <w:rFonts w:ascii="Arial" w:hAnsi="Arial" w:cs="Arial"/>
                <w:sz w:val="24"/>
                <w:szCs w:val="24"/>
              </w:rPr>
              <w:t>W przypadku przekroczenia jednego z dwóch progów (liczby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 xml:space="preserve">/bilansu) </w:t>
            </w:r>
            <w:r>
              <w:rPr>
                <w:rFonts w:ascii="Arial" w:hAnsi="Arial" w:cs="Arial"/>
                <w:sz w:val="24"/>
                <w:szCs w:val="24"/>
              </w:rPr>
              <w:t>p</w:t>
            </w:r>
            <w:r w:rsidRPr="00043A17">
              <w:rPr>
                <w:rFonts w:ascii="Arial" w:hAnsi="Arial" w:cs="Arial"/>
                <w:sz w:val="24"/>
                <w:szCs w:val="24"/>
              </w:rPr>
              <w:t xml:space="preserve">rzedsiębiorstwa klasyfikuje się do wyższej kategorii wielkości (ESTAT na podstawie art. 2-3 załącznika do zalecenia KE 2003/361/WE). Wielkość wspieranego </w:t>
            </w:r>
            <w:r w:rsidRPr="00043A17">
              <w:rPr>
                <w:rFonts w:ascii="Arial" w:hAnsi="Arial" w:cs="Arial"/>
                <w:sz w:val="24"/>
                <w:szCs w:val="24"/>
              </w:rPr>
              <w:lastRenderedPageBreak/>
              <w:t>przedsiębiorstwa jest definiowana na dzień złożenia wniosku o dofinansowanie.</w:t>
            </w:r>
          </w:p>
          <w:p w14:paraId="4F3ECA57"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07D31ECA" w14:textId="36E5455F" w:rsidR="00634E3B" w:rsidRPr="003248F2" w:rsidRDefault="00634E3B" w:rsidP="00634E3B">
            <w:pPr>
              <w:spacing w:after="0"/>
              <w:rPr>
                <w:rFonts w:ascii="Arial" w:hAnsi="Arial" w:cs="Arial"/>
                <w:sz w:val="24"/>
                <w:szCs w:val="24"/>
              </w:rPr>
            </w:pPr>
            <w:r w:rsidRPr="00043A17">
              <w:rPr>
                <w:rFonts w:ascii="Arial" w:hAnsi="Arial" w:cs="Arial"/>
                <w:sz w:val="24"/>
                <w:szCs w:val="24"/>
              </w:rPr>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634E3B" w:rsidRPr="003248F2" w14:paraId="0CF907F8" w14:textId="77777777" w:rsidTr="00C35425">
        <w:trPr>
          <w:trHeight w:val="291"/>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4</w:t>
            </w:r>
          </w:p>
        </w:tc>
        <w:tc>
          <w:tcPr>
            <w:tcW w:w="2818" w:type="dxa"/>
            <w:tcBorders>
              <w:top w:val="single" w:sz="4" w:space="0" w:color="auto"/>
              <w:left w:val="nil"/>
              <w:bottom w:val="single" w:sz="4" w:space="0" w:color="auto"/>
              <w:right w:val="single" w:sz="4" w:space="0" w:color="auto"/>
            </w:tcBorders>
            <w:shd w:val="clear" w:color="auto" w:fill="auto"/>
            <w:vAlign w:val="center"/>
          </w:tcPr>
          <w:p w14:paraId="7A9567B8" w14:textId="1CADA2A8" w:rsidR="00634E3B" w:rsidRPr="003248F2" w:rsidRDefault="00B515D5"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PLRO003 Liczba ws</w:t>
            </w:r>
            <w:r w:rsidR="00634E3B">
              <w:rPr>
                <w:rFonts w:ascii="Arial" w:hAnsi="Arial" w:cs="Arial"/>
                <w:sz w:val="24"/>
                <w:szCs w:val="24"/>
              </w:rPr>
              <w:t>partych średnich 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50B8F4C1" w14:textId="6BB2B4A3"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62927424" w14:textId="41C8B039"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4B1D60D5" w14:textId="4C45D3E8" w:rsidR="00634E3B" w:rsidRPr="00043A17" w:rsidRDefault="00634E3B" w:rsidP="00105AB1">
            <w:pPr>
              <w:spacing w:after="0" w:line="240" w:lineRule="auto"/>
              <w:rPr>
                <w:rFonts w:ascii="Arial" w:hAnsi="Arial" w:cs="Arial"/>
                <w:sz w:val="24"/>
                <w:szCs w:val="24"/>
              </w:rPr>
            </w:pPr>
            <w:r w:rsidRPr="00EA115D">
              <w:rPr>
                <w:rFonts w:ascii="Arial" w:hAnsi="Arial" w:cs="Arial"/>
                <w:sz w:val="24"/>
                <w:szCs w:val="24"/>
              </w:rPr>
              <w:t xml:space="preserve">Wskaźnik obejmuje </w:t>
            </w:r>
            <w:r>
              <w:rPr>
                <w:rFonts w:ascii="Arial" w:hAnsi="Arial" w:cs="Arial"/>
                <w:sz w:val="24"/>
                <w:szCs w:val="24"/>
              </w:rPr>
              <w:t>średnie</w:t>
            </w:r>
            <w:r w:rsidRPr="00EA115D">
              <w:rPr>
                <w:rFonts w:ascii="Arial" w:hAnsi="Arial" w:cs="Arial"/>
                <w:sz w:val="24"/>
                <w:szCs w:val="24"/>
              </w:rPr>
              <w:t xml:space="preserve"> przedsiębiorstwa, które otrzymały wsparcie finansowe oraz pozafinansowe z Funduszu Sprawiedliwej Transformacji (FST</w:t>
            </w:r>
            <w:proofErr w:type="gramStart"/>
            <w:r w:rsidRPr="00EA115D">
              <w:rPr>
                <w:rFonts w:ascii="Arial" w:hAnsi="Arial" w:cs="Arial"/>
                <w:sz w:val="24"/>
                <w:szCs w:val="24"/>
              </w:rPr>
              <w:t>).</w:t>
            </w:r>
            <w:r w:rsidRPr="00043A17">
              <w:rPr>
                <w:rFonts w:ascii="Arial" w:hAnsi="Arial" w:cs="Arial"/>
                <w:sz w:val="24"/>
                <w:szCs w:val="24"/>
              </w:rPr>
              <w:t>Definicja</w:t>
            </w:r>
            <w:proofErr w:type="gramEnd"/>
            <w:r w:rsidRPr="00043A17">
              <w:rPr>
                <w:rFonts w:ascii="Arial" w:hAnsi="Arial" w:cs="Arial"/>
                <w:sz w:val="24"/>
                <w:szCs w:val="24"/>
              </w:rPr>
              <w:t xml:space="preserve"> przedsiębiorstwa </w:t>
            </w:r>
            <w:r>
              <w:rPr>
                <w:rFonts w:ascii="Arial" w:hAnsi="Arial" w:cs="Arial"/>
                <w:sz w:val="24"/>
                <w:szCs w:val="24"/>
              </w:rPr>
              <w:t xml:space="preserve">zgodna z definicją </w:t>
            </w:r>
            <w:r w:rsidRPr="00043A17">
              <w:rPr>
                <w:rFonts w:ascii="Arial" w:hAnsi="Arial" w:cs="Arial"/>
                <w:sz w:val="24"/>
                <w:szCs w:val="24"/>
              </w:rPr>
              <w:t>wskaźnik</w:t>
            </w:r>
            <w:r>
              <w:rPr>
                <w:rFonts w:ascii="Arial" w:hAnsi="Arial" w:cs="Arial"/>
                <w:sz w:val="24"/>
                <w:szCs w:val="24"/>
              </w:rPr>
              <w:t>a</w:t>
            </w:r>
            <w:r w:rsidRPr="00043A17">
              <w:rPr>
                <w:rFonts w:ascii="Arial" w:hAnsi="Arial" w:cs="Arial"/>
                <w:sz w:val="24"/>
                <w:szCs w:val="24"/>
              </w:rPr>
              <w:t xml:space="preserve"> RCO002.</w:t>
            </w:r>
          </w:p>
          <w:p w14:paraId="4118BB52"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średnie przedsiębiorstwo to przedsiębiorstwo zatrudniające od 50 do 249 osób oraz którego roczny obrót mieści się w przedziale 10-50 mln EUR lub/i roczny bilans mieści się w zakresie 10 - 43 mln EUR.</w:t>
            </w:r>
          </w:p>
          <w:p w14:paraId="6CD720DD"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 przypadku przekroczenia jednego z dwóch progów (liczby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/bilansu) przedsiębiorstwa klasyfikuje się do wyższej kategorii wielkości (ESTAT na podstawie art. 2-3 załącznika do zalecenia KE 2003/361/WE).</w:t>
            </w:r>
          </w:p>
          <w:p w14:paraId="1414A397" w14:textId="53CF2CBF"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Wielkość wspieranego przedsiębiorstwa jest definiowana na dzień złożenia wniosku o dofinansowanie.</w:t>
            </w:r>
          </w:p>
          <w:p w14:paraId="76D4A182"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20FFB615" w14:textId="5644E745" w:rsidR="00634E3B" w:rsidRPr="003248F2" w:rsidRDefault="00634E3B" w:rsidP="00105AB1">
            <w:pPr>
              <w:spacing w:after="0"/>
              <w:rPr>
                <w:rFonts w:ascii="Arial" w:hAnsi="Arial" w:cs="Arial"/>
                <w:sz w:val="24"/>
                <w:szCs w:val="24"/>
              </w:rPr>
            </w:pPr>
            <w:r w:rsidRPr="00043A17">
              <w:rPr>
                <w:rFonts w:ascii="Arial" w:hAnsi="Arial" w:cs="Arial"/>
                <w:sz w:val="24"/>
                <w:szCs w:val="24"/>
              </w:rPr>
              <w:lastRenderedPageBreak/>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AA4EB1" w:rsidRPr="003248F2" w14:paraId="19BADE37" w14:textId="77777777" w:rsidTr="00C35425">
        <w:trPr>
          <w:trHeight w:val="1406"/>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4AF9FE03" w:rsidR="00AA4EB1" w:rsidRPr="003248F2" w:rsidRDefault="00043815" w:rsidP="00FF6DD2">
            <w:pPr>
              <w:spacing w:after="0"/>
              <w:rPr>
                <w:rFonts w:ascii="Arial" w:hAnsi="Arial" w:cs="Arial"/>
                <w:sz w:val="24"/>
                <w:szCs w:val="24"/>
              </w:rPr>
            </w:pPr>
            <w:r>
              <w:rPr>
                <w:rFonts w:ascii="Arial" w:hAnsi="Arial" w:cs="Arial"/>
                <w:sz w:val="24"/>
                <w:szCs w:val="24"/>
              </w:rPr>
              <w:lastRenderedPageBreak/>
              <w:t>5</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14:paraId="2C6FBE37" w14:textId="54AA9096" w:rsidR="00AA4EB1" w:rsidRPr="00105AB1" w:rsidRDefault="00B515D5" w:rsidP="00FF6DD2">
            <w:pPr>
              <w:spacing w:after="0"/>
              <w:rPr>
                <w:rFonts w:ascii="Arial" w:hAnsi="Arial" w:cs="Arial"/>
                <w:sz w:val="24"/>
                <w:szCs w:val="24"/>
              </w:rPr>
            </w:pPr>
            <w:r>
              <w:rPr>
                <w:rFonts w:ascii="Arial" w:hAnsi="Arial" w:cs="Arial"/>
                <w:sz w:val="24"/>
                <w:szCs w:val="24"/>
              </w:rPr>
              <w:t>WLWK-</w:t>
            </w:r>
            <w:r w:rsidR="007B63C4" w:rsidRPr="00105AB1">
              <w:rPr>
                <w:rFonts w:ascii="Arial" w:hAnsi="Arial" w:cs="Arial"/>
                <w:sz w:val="24"/>
                <w:szCs w:val="24"/>
              </w:rPr>
              <w:t>RCO007 Organizacje badawcze uczestniczące we wspólnych projektach badawczych</w:t>
            </w:r>
          </w:p>
        </w:tc>
        <w:tc>
          <w:tcPr>
            <w:tcW w:w="1941" w:type="dxa"/>
            <w:tcBorders>
              <w:top w:val="single" w:sz="4" w:space="0" w:color="auto"/>
              <w:left w:val="nil"/>
              <w:bottom w:val="single" w:sz="4" w:space="0" w:color="auto"/>
              <w:right w:val="single" w:sz="4" w:space="0" w:color="auto"/>
            </w:tcBorders>
            <w:shd w:val="clear" w:color="auto" w:fill="auto"/>
            <w:vAlign w:val="center"/>
          </w:tcPr>
          <w:p w14:paraId="55E10B29" w14:textId="74E809B1" w:rsidR="00AA4EB1" w:rsidRPr="00105AB1" w:rsidRDefault="007B63C4" w:rsidP="00FF6DD2">
            <w:pPr>
              <w:spacing w:after="0"/>
              <w:rPr>
                <w:rFonts w:ascii="Arial" w:hAnsi="Arial" w:cs="Arial"/>
                <w:sz w:val="24"/>
                <w:szCs w:val="24"/>
              </w:rPr>
            </w:pPr>
            <w:r w:rsidRPr="00105AB1">
              <w:rPr>
                <w:rFonts w:ascii="Arial" w:hAnsi="Arial" w:cs="Arial"/>
                <w:sz w:val="24"/>
                <w:szCs w:val="24"/>
              </w:rPr>
              <w:t>szt.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576132A" w14:textId="6F185FDF" w:rsidR="00AA4EB1" w:rsidRPr="00105AB1" w:rsidRDefault="007B63C4" w:rsidP="00FF6DD2">
            <w:pPr>
              <w:spacing w:after="0"/>
              <w:rPr>
                <w:rFonts w:ascii="Arial" w:hAnsi="Arial" w:cs="Arial"/>
                <w:sz w:val="24"/>
                <w:szCs w:val="24"/>
              </w:rPr>
            </w:pPr>
            <w:r w:rsidRPr="00105AB1">
              <w:rPr>
                <w:rFonts w:ascii="Arial" w:hAnsi="Arial" w:cs="Arial"/>
                <w:sz w:val="24"/>
                <w:szCs w:val="24"/>
              </w:rPr>
              <w:t>produkt/kluczowy (horyzontalny)</w:t>
            </w:r>
          </w:p>
        </w:tc>
        <w:tc>
          <w:tcPr>
            <w:tcW w:w="6271" w:type="dxa"/>
            <w:tcBorders>
              <w:top w:val="single" w:sz="4" w:space="0" w:color="auto"/>
              <w:left w:val="single" w:sz="4" w:space="0" w:color="auto"/>
              <w:bottom w:val="single" w:sz="4" w:space="0" w:color="auto"/>
              <w:right w:val="single" w:sz="4" w:space="0" w:color="auto"/>
            </w:tcBorders>
            <w:shd w:val="clear" w:color="000000" w:fill="FFFFFF"/>
            <w:vAlign w:val="center"/>
          </w:tcPr>
          <w:p w14:paraId="0DCA01FC" w14:textId="67B5DCD6" w:rsidR="00AA4EB1" w:rsidRPr="00105AB1" w:rsidRDefault="007B63C4" w:rsidP="00FF6DD2">
            <w:pPr>
              <w:spacing w:after="0"/>
              <w:rPr>
                <w:rFonts w:ascii="Arial" w:hAnsi="Arial" w:cs="Arial"/>
                <w:sz w:val="24"/>
                <w:szCs w:val="24"/>
              </w:rPr>
            </w:pPr>
            <w:r w:rsidRPr="00105AB1">
              <w:rPr>
                <w:rFonts w:ascii="Arial" w:hAnsi="Arial" w:cs="Arial"/>
                <w:sz w:val="24"/>
                <w:szCs w:val="24"/>
              </w:rPr>
              <w:t>Liczba wspieranych organizacji badawczych współpracujących we wspólnych projektach badawczych. Wspólny projekt badawczy obejmuje co najmniej jedną organizację badawczą i innego partnera (np. przedsiębiorstwo, inną organizację badawczą itp.). Współpraca w zakresie działań na rzecz badań i rozwoju może być nowa lub już istniejąca i powinna trwać przynajmniej przez czas trwa</w:t>
            </w:r>
            <w:r w:rsidR="00110AB3">
              <w:rPr>
                <w:rFonts w:ascii="Arial" w:hAnsi="Arial" w:cs="Arial"/>
                <w:sz w:val="24"/>
                <w:szCs w:val="24"/>
              </w:rPr>
              <w:t>nia projektu objętego wsparciem</w:t>
            </w:r>
            <w:r w:rsidRPr="00105AB1">
              <w:rPr>
                <w:rFonts w:ascii="Arial" w:hAnsi="Arial" w:cs="Arial"/>
                <w:sz w:val="24"/>
                <w:szCs w:val="24"/>
              </w:rPr>
              <w:t xml:space="preserve">. Wskaźnik obejmuje aktywne uczestnictwo (wnoszenie do projektu zasobów ludzkich, organizacyjnych, technicznych lub finansowych) we wspólnych projektach badawczych, a wyklucza ustalenia umowne, bez aktywnej współpracy w ramach projektu objętego wsparciem (tj. do wartości wskaźnika nie wlicza się tych organizacji, które współrealizują dany </w:t>
            </w:r>
            <w:proofErr w:type="gramStart"/>
            <w:r w:rsidRPr="00105AB1">
              <w:rPr>
                <w:rFonts w:ascii="Arial" w:hAnsi="Arial" w:cs="Arial"/>
                <w:sz w:val="24"/>
                <w:szCs w:val="24"/>
              </w:rPr>
              <w:t>projekt</w:t>
            </w:r>
            <w:proofErr w:type="gramEnd"/>
            <w:r w:rsidRPr="00105AB1">
              <w:rPr>
                <w:rFonts w:ascii="Arial" w:hAnsi="Arial" w:cs="Arial"/>
                <w:sz w:val="24"/>
                <w:szCs w:val="24"/>
              </w:rPr>
              <w:t xml:space="preserve"> ale nie uczestniczą w realizacji wspólnych prac badawczych). Partnerzy projektu muszą faktycznie wykonywać określoną część obowiązków (w zakresie ich dotyczącym) w ramach realizowanego projektu badawczego i można tę współpracę udokumentować. Organizacj</w:t>
            </w:r>
            <w:r w:rsidR="00AC785F">
              <w:rPr>
                <w:rFonts w:ascii="Arial" w:hAnsi="Arial" w:cs="Arial"/>
                <w:sz w:val="24"/>
                <w:szCs w:val="24"/>
              </w:rPr>
              <w:t>a</w:t>
            </w:r>
            <w:r w:rsidRPr="00105AB1">
              <w:rPr>
                <w:rFonts w:ascii="Arial" w:hAnsi="Arial" w:cs="Arial"/>
                <w:sz w:val="24"/>
                <w:szCs w:val="24"/>
              </w:rPr>
              <w:t xml:space="preserve"> badawcz</w:t>
            </w:r>
            <w:r w:rsidR="00AC785F">
              <w:rPr>
                <w:rFonts w:ascii="Arial" w:hAnsi="Arial" w:cs="Arial"/>
                <w:sz w:val="24"/>
                <w:szCs w:val="24"/>
              </w:rPr>
              <w:t xml:space="preserve">a- </w:t>
            </w:r>
            <w:r w:rsidR="00AC785F" w:rsidRPr="00AC785F">
              <w:rPr>
                <w:rFonts w:ascii="Arial" w:hAnsi="Arial" w:cs="Arial"/>
                <w:sz w:val="24"/>
                <w:szCs w:val="24"/>
              </w:rPr>
              <w:t xml:space="preserve">podmiot (jak np. uniwersytet lub </w:t>
            </w:r>
            <w:r w:rsidR="00AC785F" w:rsidRPr="00AC785F">
              <w:rPr>
                <w:rFonts w:ascii="Arial" w:hAnsi="Arial" w:cs="Arial"/>
                <w:sz w:val="24"/>
                <w:szCs w:val="24"/>
              </w:rPr>
              <w:lastRenderedPageBreak/>
              <w:t>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rozpowszechnienie na szeroką skalę wyników takich działań poprzez nauczenie, publikację lub transfer wiedzy.</w:t>
            </w:r>
          </w:p>
        </w:tc>
      </w:tr>
      <w:tr w:rsidR="00D66FD3" w:rsidRPr="003248F2" w14:paraId="5564642D" w14:textId="77777777" w:rsidTr="00C35425">
        <w:trPr>
          <w:trHeight w:val="1406"/>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17B325B" w14:textId="54BFCC25" w:rsidR="00D66FD3" w:rsidRPr="003248F2" w:rsidRDefault="00043815" w:rsidP="00D66FD3">
            <w:pPr>
              <w:spacing w:after="0"/>
              <w:rPr>
                <w:rFonts w:ascii="Arial" w:hAnsi="Arial" w:cs="Arial"/>
                <w:sz w:val="24"/>
                <w:szCs w:val="24"/>
              </w:rPr>
            </w:pPr>
            <w:r>
              <w:rPr>
                <w:rFonts w:ascii="Arial" w:hAnsi="Arial" w:cs="Arial"/>
                <w:sz w:val="24"/>
                <w:szCs w:val="24"/>
              </w:rPr>
              <w:lastRenderedPageBreak/>
              <w:t>6</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14:paraId="1E47C612" w14:textId="322E8F93" w:rsidR="00D66FD3" w:rsidRPr="00611389" w:rsidRDefault="006B458C" w:rsidP="00D66FD3">
            <w:pPr>
              <w:spacing w:after="0"/>
              <w:rPr>
                <w:rFonts w:ascii="Arial" w:hAnsi="Arial" w:cs="Arial"/>
                <w:sz w:val="24"/>
                <w:szCs w:val="24"/>
              </w:rPr>
            </w:pPr>
            <w:r>
              <w:rPr>
                <w:rFonts w:ascii="Arial" w:hAnsi="Arial" w:cs="Arial"/>
                <w:sz w:val="24"/>
                <w:szCs w:val="24"/>
              </w:rPr>
              <w:t>WLWK-</w:t>
            </w:r>
            <w:r w:rsidR="006D42B8" w:rsidRPr="00611389">
              <w:rPr>
                <w:rFonts w:ascii="Arial" w:hAnsi="Arial" w:cs="Arial"/>
                <w:sz w:val="24"/>
                <w:szCs w:val="24"/>
              </w:rPr>
              <w:t>RCO010 Przedsiębiorstwa współpracujące z organizacjami badawczymi</w:t>
            </w:r>
          </w:p>
        </w:tc>
        <w:tc>
          <w:tcPr>
            <w:tcW w:w="1941" w:type="dxa"/>
            <w:tcBorders>
              <w:top w:val="single" w:sz="4" w:space="0" w:color="auto"/>
              <w:left w:val="nil"/>
              <w:bottom w:val="single" w:sz="4" w:space="0" w:color="auto"/>
              <w:right w:val="single" w:sz="4" w:space="0" w:color="auto"/>
            </w:tcBorders>
            <w:shd w:val="clear" w:color="auto" w:fill="auto"/>
            <w:vAlign w:val="center"/>
          </w:tcPr>
          <w:p w14:paraId="42866181" w14:textId="0E80AD24" w:rsidR="00D66FD3" w:rsidRPr="00611389" w:rsidRDefault="006D42B8" w:rsidP="00D66FD3">
            <w:pPr>
              <w:spacing w:after="0"/>
              <w:rPr>
                <w:rFonts w:ascii="Arial" w:hAnsi="Arial" w:cs="Arial"/>
                <w:sz w:val="24"/>
                <w:szCs w:val="24"/>
              </w:rPr>
            </w:pPr>
            <w:r w:rsidRPr="00611389">
              <w:rPr>
                <w:rFonts w:ascii="Arial" w:hAnsi="Arial" w:cs="Arial"/>
                <w:sz w:val="24"/>
                <w:szCs w:val="24"/>
              </w:rPr>
              <w:t>przedsiębiorstwa</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85757D9" w14:textId="58652213" w:rsidR="00D66FD3" w:rsidRPr="00611389" w:rsidRDefault="006D42B8" w:rsidP="00D66FD3">
            <w:pPr>
              <w:spacing w:after="0"/>
              <w:rPr>
                <w:rFonts w:ascii="Arial" w:hAnsi="Arial" w:cs="Arial"/>
                <w:sz w:val="24"/>
                <w:szCs w:val="24"/>
              </w:rPr>
            </w:pPr>
            <w:r w:rsidRPr="00611389">
              <w:rPr>
                <w:rFonts w:ascii="Arial" w:hAnsi="Arial" w:cs="Arial"/>
                <w:sz w:val="24"/>
                <w:szCs w:val="24"/>
              </w:rPr>
              <w:t>produkt/kluczowy (horyzontalny)</w:t>
            </w:r>
          </w:p>
        </w:tc>
        <w:tc>
          <w:tcPr>
            <w:tcW w:w="6271" w:type="dxa"/>
            <w:tcBorders>
              <w:top w:val="single" w:sz="4" w:space="0" w:color="auto"/>
              <w:left w:val="single" w:sz="4" w:space="0" w:color="auto"/>
              <w:bottom w:val="single" w:sz="4" w:space="0" w:color="auto"/>
              <w:right w:val="single" w:sz="4" w:space="0" w:color="auto"/>
            </w:tcBorders>
            <w:shd w:val="clear" w:color="000000" w:fill="FFFFFF"/>
            <w:vAlign w:val="center"/>
          </w:tcPr>
          <w:p w14:paraId="09D1EC56" w14:textId="0C5268BC" w:rsidR="00D66FD3" w:rsidRPr="00611389" w:rsidRDefault="006D42B8" w:rsidP="00D66FD3">
            <w:pPr>
              <w:rPr>
                <w:rFonts w:ascii="Arial" w:hAnsi="Arial" w:cs="Arial"/>
                <w:sz w:val="24"/>
                <w:szCs w:val="24"/>
              </w:rPr>
            </w:pPr>
            <w:r w:rsidRPr="00611389">
              <w:rPr>
                <w:rFonts w:ascii="Arial" w:hAnsi="Arial" w:cs="Arial"/>
                <w:sz w:val="24"/>
                <w:szCs w:val="24"/>
              </w:rPr>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 ramach projektu objętego wsparciem. Definicja przedsiębiorstwa znajduje się we wskaźniku RCO002. Definicja organizacji badawczej znajduje się we wskaźniku RCO007.</w:t>
            </w:r>
          </w:p>
        </w:tc>
      </w:tr>
      <w:tr w:rsidR="00D66FD3" w:rsidRPr="003248F2" w14:paraId="160CD51C"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27F0450" w14:textId="7A7F7FD3" w:rsidR="00D66FD3" w:rsidRPr="003248F2" w:rsidRDefault="00043815" w:rsidP="00D66FD3">
            <w:pPr>
              <w:spacing w:after="0"/>
              <w:rPr>
                <w:rFonts w:ascii="Arial" w:hAnsi="Arial" w:cs="Arial"/>
                <w:sz w:val="24"/>
                <w:szCs w:val="24"/>
              </w:rPr>
            </w:pPr>
            <w:r>
              <w:rPr>
                <w:rFonts w:ascii="Arial" w:hAnsi="Arial" w:cs="Arial"/>
                <w:sz w:val="24"/>
                <w:szCs w:val="24"/>
              </w:rPr>
              <w:lastRenderedPageBreak/>
              <w:t>7</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6DD556E3" w14:textId="3D41034C" w:rsidR="00D66FD3" w:rsidRPr="00611389" w:rsidRDefault="00FE07BE" w:rsidP="00D66FD3">
            <w:pPr>
              <w:spacing w:after="0"/>
              <w:rPr>
                <w:rFonts w:ascii="Arial" w:hAnsi="Arial" w:cs="Arial"/>
                <w:sz w:val="24"/>
                <w:szCs w:val="24"/>
              </w:rPr>
            </w:pPr>
            <w:r>
              <w:rPr>
                <w:rFonts w:ascii="Arial" w:hAnsi="Arial" w:cs="Arial"/>
                <w:sz w:val="24"/>
              </w:rPr>
              <w:t>WLWK-</w:t>
            </w:r>
            <w:r w:rsidR="006D42B8" w:rsidRPr="00611389">
              <w:rPr>
                <w:rFonts w:ascii="Arial" w:hAnsi="Arial" w:cs="Arial"/>
                <w:sz w:val="24"/>
              </w:rPr>
              <w:t>PLRO005 Liczba wspartych laboratoriów badawczych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C733CE6" w14:textId="56CD7BB7" w:rsidR="00D66FD3" w:rsidRPr="00611389" w:rsidRDefault="00611389" w:rsidP="00D66FD3">
            <w:pPr>
              <w:spacing w:after="0"/>
              <w:rPr>
                <w:rFonts w:ascii="Arial" w:hAnsi="Arial" w:cs="Arial"/>
                <w:sz w:val="24"/>
                <w:szCs w:val="24"/>
              </w:rPr>
            </w:pPr>
            <w:r>
              <w:rPr>
                <w:rFonts w:ascii="Arial" w:hAnsi="Arial" w:cs="Arial"/>
                <w:sz w:val="24"/>
              </w:rPr>
              <w:t>s</w:t>
            </w:r>
            <w:r w:rsidR="006D42B8" w:rsidRPr="00611389">
              <w:rPr>
                <w:rFonts w:ascii="Arial" w:hAnsi="Arial" w:cs="Arial"/>
                <w:sz w:val="24"/>
              </w:rPr>
              <w:t>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5BF415E6" w14:textId="500800BF" w:rsidR="00D66FD3" w:rsidRPr="00611389" w:rsidRDefault="006D42B8"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3DF90A4C" w14:textId="13FB1430" w:rsidR="00D66FD3" w:rsidRPr="00611389" w:rsidRDefault="006D42B8" w:rsidP="00D66FD3">
            <w:pPr>
              <w:spacing w:after="0"/>
              <w:rPr>
                <w:rFonts w:ascii="Arial" w:hAnsi="Arial" w:cs="Arial"/>
                <w:sz w:val="24"/>
                <w:szCs w:val="24"/>
              </w:rPr>
            </w:pPr>
            <w:r w:rsidRPr="00611389">
              <w:rPr>
                <w:rFonts w:ascii="Arial" w:hAnsi="Arial" w:cs="Arial"/>
                <w:sz w:val="24"/>
              </w:rPr>
              <w:t>Liczba laboratoriów badawczych wybudowanych (utworzonych), rozbudowanych, przebudowanych lub d</w:t>
            </w:r>
            <w:r w:rsidR="00611389">
              <w:rPr>
                <w:rFonts w:ascii="Arial" w:hAnsi="Arial" w:cs="Arial"/>
                <w:sz w:val="24"/>
              </w:rPr>
              <w:t>oposażonych w aparaturę naukowo-</w:t>
            </w:r>
            <w:r w:rsidRPr="00611389">
              <w:rPr>
                <w:rFonts w:ascii="Arial" w:hAnsi="Arial" w:cs="Arial"/>
                <w:sz w:val="24"/>
              </w:rPr>
              <w:t>badawczą w wyniku udzielonego wsparcia i przygotowanych do prowadzenia prac B+R. Laboratorium może być umiejscowione w jednostce naukowej, przedsiębiorstwie, instytucji otoczenia biznesu (np. park technologiczny). Przez laboratorium należy rozumieć technicznie i organizacyjnie wydzielone pomieszczenie/pomieszczenia (laboratorium może zatem stanowić cześć większego pomieszczenia, wydzieloną technicznie i/ lub organizacyjnie na jego potrzeby), wyposażone w niezbędną aparaturę naukowo-badawczą. Jeśli laboratorium składa się z kilku pomieszczeń, wówczas należy definiować laboratorium jako jednostkę organizacyjną (zespół złożony z pomieszczeń i sprzętu).</w:t>
            </w:r>
          </w:p>
        </w:tc>
      </w:tr>
      <w:tr w:rsidR="00D66FD3" w:rsidRPr="003248F2" w14:paraId="6005B26B"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557E75C" w14:textId="058F690E" w:rsidR="00D66FD3" w:rsidRPr="003248F2" w:rsidRDefault="00043815" w:rsidP="00D66FD3">
            <w:pPr>
              <w:spacing w:after="0"/>
              <w:rPr>
                <w:rFonts w:ascii="Arial" w:hAnsi="Arial" w:cs="Arial"/>
                <w:sz w:val="24"/>
                <w:szCs w:val="24"/>
              </w:rPr>
            </w:pPr>
            <w:r>
              <w:rPr>
                <w:rFonts w:ascii="Arial" w:hAnsi="Arial" w:cs="Arial"/>
                <w:sz w:val="24"/>
                <w:szCs w:val="24"/>
              </w:rPr>
              <w:t>8</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8539F1E" w14:textId="385D4270" w:rsidR="00D66FD3" w:rsidRPr="00611389" w:rsidRDefault="00FE07BE" w:rsidP="00D66FD3">
            <w:pPr>
              <w:spacing w:after="0"/>
              <w:rPr>
                <w:rFonts w:ascii="Arial" w:hAnsi="Arial" w:cs="Arial"/>
                <w:sz w:val="24"/>
                <w:szCs w:val="24"/>
              </w:rPr>
            </w:pPr>
            <w:r>
              <w:rPr>
                <w:rFonts w:ascii="Arial" w:hAnsi="Arial" w:cs="Arial"/>
                <w:sz w:val="24"/>
                <w:szCs w:val="24"/>
              </w:rPr>
              <w:t>WLWK-</w:t>
            </w:r>
            <w:r w:rsidR="006D42B8" w:rsidRPr="00611389">
              <w:rPr>
                <w:rFonts w:ascii="Arial" w:hAnsi="Arial" w:cs="Arial"/>
                <w:sz w:val="24"/>
                <w:szCs w:val="24"/>
              </w:rPr>
              <w:t>PLRO006 Liczba przedsiębiorstw otrzymujących wsparcie w zakresie transformacji w kierunku zrównoważonego rozwoju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B0C34EA" w14:textId="59E6681B" w:rsidR="00D66FD3" w:rsidRPr="00611389" w:rsidRDefault="006D42B8" w:rsidP="00D66FD3">
            <w:pPr>
              <w:spacing w:after="0"/>
              <w:rPr>
                <w:rFonts w:ascii="Arial" w:hAnsi="Arial" w:cs="Arial"/>
                <w:sz w:val="24"/>
                <w:szCs w:val="24"/>
              </w:rPr>
            </w:pPr>
            <w:r w:rsidRPr="00611389">
              <w:rPr>
                <w:rFonts w:ascii="Arial" w:hAnsi="Arial" w:cs="Arial"/>
                <w:sz w:val="24"/>
                <w:szCs w:val="24"/>
              </w:rPr>
              <w:t>przedsiębiorstwa</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3E56C7E1" w14:textId="1007687C" w:rsidR="00D66FD3" w:rsidRPr="00611389" w:rsidRDefault="00A315DB" w:rsidP="00D66FD3">
            <w:pPr>
              <w:spacing w:after="0"/>
              <w:rPr>
                <w:rFonts w:ascii="Arial" w:hAnsi="Arial" w:cs="Arial"/>
                <w:sz w:val="24"/>
                <w:szCs w:val="24"/>
              </w:rPr>
            </w:pPr>
            <w:r w:rsidRPr="00611389">
              <w:rPr>
                <w:rFonts w:ascii="Arial" w:hAnsi="Arial" w:cs="Arial"/>
                <w:sz w:val="24"/>
                <w:szCs w:val="24"/>
              </w:rPr>
              <w:t>produkt/kluczowy (horyzontalny</w:t>
            </w:r>
            <w:r w:rsidR="006661D7">
              <w:rPr>
                <w:rFonts w:ascii="Arial" w:hAnsi="Arial" w:cs="Arial"/>
                <w:sz w:val="24"/>
                <w:szCs w:val="24"/>
              </w:rPr>
              <w:t>)</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223ED889" w14:textId="7B050742" w:rsidR="00D66FD3" w:rsidRPr="00611389" w:rsidRDefault="00A315DB" w:rsidP="00D66FD3">
            <w:pPr>
              <w:spacing w:after="0"/>
              <w:rPr>
                <w:rFonts w:ascii="Arial" w:hAnsi="Arial" w:cs="Arial"/>
                <w:sz w:val="24"/>
                <w:szCs w:val="24"/>
              </w:rPr>
            </w:pPr>
            <w:r w:rsidRPr="00611389">
              <w:rPr>
                <w:rFonts w:ascii="Arial" w:hAnsi="Arial" w:cs="Arial"/>
                <w:sz w:val="24"/>
                <w:szCs w:val="24"/>
              </w:rPr>
              <w:t xml:space="preserve">W ramach wskaźnika monitorowana będzie liczba przedsiębiorstw otrzymujących wsparcie na podejmowanie działań dotyczących transformacji w kierunku celów środowiskowych zrównoważonego rozwoju, w tym gospodarki o obiegu zamkniętym, łagodzenia zmian klimatu i adaptacji do zmian klimatu oraz wszystkich innych działań związanych z tzw. zazielenianiem przedsiębiorstw (w tym wdrażaniem wyników B+R związanych ze zrównoważonym rozwojem) </w:t>
            </w:r>
            <w:r w:rsidRPr="00611389">
              <w:rPr>
                <w:rFonts w:ascii="Arial" w:hAnsi="Arial" w:cs="Arial"/>
                <w:sz w:val="24"/>
                <w:szCs w:val="24"/>
              </w:rPr>
              <w:lastRenderedPageBreak/>
              <w:t>wykazanych w związku z realizacją projektu. Definicja przedsiębiorstwa znajduje się we wskaźniku RCO002.</w:t>
            </w:r>
          </w:p>
        </w:tc>
      </w:tr>
      <w:tr w:rsidR="00D66FD3" w:rsidRPr="003248F2" w14:paraId="6E9E5DF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BBA5638" w14:textId="76835CB6" w:rsidR="00D66FD3" w:rsidRPr="003248F2" w:rsidRDefault="00043815" w:rsidP="00D66FD3">
            <w:pPr>
              <w:spacing w:after="0"/>
              <w:rPr>
                <w:rFonts w:ascii="Arial" w:hAnsi="Arial" w:cs="Arial"/>
                <w:sz w:val="24"/>
                <w:szCs w:val="24"/>
              </w:rPr>
            </w:pPr>
            <w:r>
              <w:rPr>
                <w:rFonts w:ascii="Arial" w:hAnsi="Arial" w:cs="Arial"/>
                <w:sz w:val="24"/>
                <w:szCs w:val="24"/>
              </w:rPr>
              <w:lastRenderedPageBreak/>
              <w:t>9</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68A8758" w14:textId="2368DBCC" w:rsidR="00D66FD3" w:rsidRPr="00611389" w:rsidRDefault="007B2BAB" w:rsidP="00D66FD3">
            <w:pPr>
              <w:spacing w:after="0"/>
              <w:rPr>
                <w:rFonts w:ascii="Arial" w:hAnsi="Arial" w:cs="Arial"/>
                <w:sz w:val="24"/>
                <w:szCs w:val="24"/>
              </w:rPr>
            </w:pPr>
            <w:r>
              <w:rPr>
                <w:rFonts w:ascii="Arial" w:hAnsi="Arial" w:cs="Arial"/>
                <w:sz w:val="24"/>
              </w:rPr>
              <w:t>WLWK-</w:t>
            </w:r>
            <w:r w:rsidR="00A315DB" w:rsidRPr="00611389">
              <w:rPr>
                <w:rFonts w:ascii="Arial" w:hAnsi="Arial" w:cs="Arial"/>
                <w:sz w:val="24"/>
              </w:rPr>
              <w:t>PLRO007 Liczba realizowanych projektów B+R</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B77357A" w14:textId="407A9ABB" w:rsidR="00D66FD3" w:rsidRPr="00611389" w:rsidRDefault="00A315DB"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74B628F" w14:textId="14FEF593" w:rsidR="00D66FD3" w:rsidRPr="00611389" w:rsidRDefault="00A315DB"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5210EE9A" w14:textId="10C6B72D" w:rsidR="00D66FD3" w:rsidRPr="00611389" w:rsidRDefault="00A315DB" w:rsidP="00D66FD3">
            <w:pPr>
              <w:spacing w:after="0"/>
              <w:rPr>
                <w:rFonts w:ascii="Arial" w:hAnsi="Arial" w:cs="Arial"/>
                <w:sz w:val="24"/>
                <w:szCs w:val="24"/>
              </w:rPr>
            </w:pPr>
            <w:r w:rsidRPr="00611389">
              <w:rPr>
                <w:rFonts w:ascii="Arial" w:hAnsi="Arial" w:cs="Arial"/>
                <w:sz w:val="24"/>
              </w:rPr>
              <w:t>Liczba wspartych projektów obejmujących prace B+R, będących w trakcie realizacji lub zrealizowanych przez organizacje badawcze lub przedsiębiorstwa.</w:t>
            </w:r>
          </w:p>
        </w:tc>
      </w:tr>
      <w:tr w:rsidR="00D66FD3" w:rsidRPr="003248F2" w14:paraId="0FF849E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9B90EA4" w14:textId="252B2166" w:rsidR="00D66FD3" w:rsidRPr="003248F2" w:rsidRDefault="00E35DDA" w:rsidP="00D66FD3">
            <w:pPr>
              <w:spacing w:after="0"/>
              <w:rPr>
                <w:rFonts w:ascii="Arial" w:hAnsi="Arial" w:cs="Arial"/>
                <w:sz w:val="24"/>
                <w:szCs w:val="24"/>
              </w:rPr>
            </w:pPr>
            <w:r w:rsidRPr="003248F2">
              <w:rPr>
                <w:rFonts w:ascii="Arial" w:hAnsi="Arial" w:cs="Arial"/>
                <w:sz w:val="24"/>
                <w:szCs w:val="24"/>
              </w:rPr>
              <w:t>1</w:t>
            </w:r>
            <w:r w:rsidR="00043815">
              <w:rPr>
                <w:rFonts w:ascii="Arial" w:hAnsi="Arial" w:cs="Arial"/>
                <w:sz w:val="24"/>
                <w:szCs w:val="24"/>
              </w:rPr>
              <w:t>0</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0B738D63" w14:textId="0E7421CB" w:rsidR="00D66FD3" w:rsidRPr="00611389" w:rsidRDefault="007B2BAB" w:rsidP="00D66FD3">
            <w:pPr>
              <w:spacing w:after="0"/>
              <w:rPr>
                <w:rFonts w:ascii="Arial" w:hAnsi="Arial" w:cs="Arial"/>
                <w:sz w:val="24"/>
                <w:szCs w:val="24"/>
              </w:rPr>
            </w:pPr>
            <w:r>
              <w:rPr>
                <w:rFonts w:ascii="Arial" w:hAnsi="Arial" w:cs="Arial"/>
                <w:sz w:val="24"/>
              </w:rPr>
              <w:t>WLWK-</w:t>
            </w:r>
            <w:r w:rsidR="00A315DB" w:rsidRPr="00611389">
              <w:rPr>
                <w:rFonts w:ascii="Arial" w:hAnsi="Arial" w:cs="Arial"/>
                <w:sz w:val="24"/>
              </w:rPr>
              <w:t>PLRO132 Liczba obiektów dostosowanych do potrzeb osób z niepełnosprawnościami (EFRR/FST/FS)</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B03C057" w14:textId="48A6198A" w:rsidR="00D66FD3" w:rsidRPr="00611389" w:rsidRDefault="00A315DB"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09F6BE59" w14:textId="5E309DE9" w:rsidR="00D66FD3" w:rsidRPr="00611389" w:rsidRDefault="00A315DB"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0E5E9046" w14:textId="77777777" w:rsidR="00D66FD3" w:rsidRPr="00611389" w:rsidRDefault="00A315DB" w:rsidP="00D66FD3">
            <w:pPr>
              <w:spacing w:after="0"/>
              <w:rPr>
                <w:rFonts w:ascii="Arial" w:hAnsi="Arial" w:cs="Arial"/>
                <w:sz w:val="24"/>
              </w:rPr>
            </w:pPr>
            <w:r w:rsidRPr="00611389">
              <w:rPr>
                <w:rFonts w:ascii="Arial" w:hAnsi="Arial" w:cs="Arial"/>
                <w:sz w:val="24"/>
              </w:rPr>
              <w:t>Wskaźnik odnosi się do liczby obiektów podlegających wsparciu w ramach realizowanego projektu, które zaopatrzono w specjalne podjazdy, windy, urządzenia głośnomówiące, bądź inne udogodnienia (dot. usunięcia barier w dostępie, w szczególności barier architektonicznych) ułatwiające dostęp do tych obiektów i poruszanie się po nich osobom z niepełnosprawnościami, w szczególności ruchowymi czy sensorycznymi. Zgodnie z definicją Polskiej Klasyfikacji Obiektów Budowlanych przez obiekty należy rozumieć konstrukcje połączone z gruntem w sposób trwały, wykonane z materiałów budowlanych i elementów składowych, będące wynikiem prac budowlanych.</w:t>
            </w:r>
          </w:p>
          <w:p w14:paraId="59F10FCE" w14:textId="6B6D32DF" w:rsidR="00A315DB" w:rsidRPr="00611389" w:rsidRDefault="00A315DB" w:rsidP="00D66FD3">
            <w:pPr>
              <w:spacing w:after="0"/>
              <w:rPr>
                <w:rFonts w:ascii="Arial" w:hAnsi="Arial" w:cs="Arial"/>
                <w:sz w:val="24"/>
                <w:szCs w:val="24"/>
              </w:rPr>
            </w:pPr>
            <w:r w:rsidRPr="00611389">
              <w:rPr>
                <w:rFonts w:ascii="Arial" w:hAnsi="Arial" w:cs="Arial"/>
                <w:sz w:val="24"/>
              </w:rPr>
              <w:t xml:space="preserve">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w:t>
            </w:r>
            <w:r w:rsidRPr="00611389">
              <w:rPr>
                <w:rFonts w:ascii="Arial" w:hAnsi="Arial" w:cs="Arial"/>
                <w:sz w:val="24"/>
              </w:rPr>
              <w:lastRenderedPageBreak/>
              <w:t>obiektów w rozwiązania służące osobom z niepełnosprawnościami w ramach danego projektu.</w:t>
            </w:r>
            <w:r w:rsidR="00201B21" w:rsidRPr="00611389">
              <w:rPr>
                <w:rFonts w:ascii="Arial" w:hAnsi="Arial" w:cs="Arial"/>
                <w:sz w:val="24"/>
              </w:rPr>
              <w:t xml:space="preserve"> </w:t>
            </w:r>
          </w:p>
        </w:tc>
      </w:tr>
      <w:tr w:rsidR="00D66FD3" w:rsidRPr="003248F2" w14:paraId="6ECC11B3"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2141EB67" w14:textId="0901264A" w:rsidR="00D66FD3" w:rsidRPr="003248F2" w:rsidRDefault="00043815" w:rsidP="00D66FD3">
            <w:pPr>
              <w:spacing w:after="0"/>
              <w:rPr>
                <w:rFonts w:ascii="Arial" w:hAnsi="Arial" w:cs="Arial"/>
                <w:sz w:val="24"/>
                <w:szCs w:val="24"/>
              </w:rPr>
            </w:pPr>
            <w:r>
              <w:rPr>
                <w:rFonts w:ascii="Arial" w:hAnsi="Arial" w:cs="Arial"/>
                <w:sz w:val="24"/>
                <w:szCs w:val="24"/>
              </w:rPr>
              <w:lastRenderedPageBreak/>
              <w:t>11</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8F0A39C" w14:textId="723A1875" w:rsidR="00D66FD3" w:rsidRPr="00611389" w:rsidRDefault="004A0DC3" w:rsidP="00D66FD3">
            <w:pPr>
              <w:spacing w:after="0"/>
              <w:rPr>
                <w:rFonts w:ascii="Arial" w:hAnsi="Arial" w:cs="Arial"/>
                <w:sz w:val="24"/>
                <w:szCs w:val="24"/>
              </w:rPr>
            </w:pPr>
            <w:r>
              <w:rPr>
                <w:rFonts w:ascii="Arial" w:hAnsi="Arial" w:cs="Arial"/>
                <w:sz w:val="24"/>
              </w:rPr>
              <w:t>WLWK-</w:t>
            </w:r>
            <w:r w:rsidR="00201B21" w:rsidRPr="00611389">
              <w:rPr>
                <w:rFonts w:ascii="Arial" w:hAnsi="Arial" w:cs="Arial"/>
                <w:sz w:val="24"/>
              </w:rPr>
              <w:t>PLRO159 Liczba przedsiębiorstw wspartych w zakresie realizacji prac B+R</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2C185AB" w14:textId="04921C07" w:rsidR="00D66FD3" w:rsidRPr="00611389" w:rsidRDefault="00201B21"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1531BD7A" w14:textId="3EA9D379" w:rsidR="00D66FD3" w:rsidRPr="00611389" w:rsidRDefault="00201B21"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303EA852" w14:textId="6C0E7F4D" w:rsidR="00D66FD3" w:rsidRPr="00611389" w:rsidRDefault="00C171B9" w:rsidP="00D66FD3">
            <w:pPr>
              <w:spacing w:after="0"/>
              <w:rPr>
                <w:rFonts w:ascii="Arial" w:hAnsi="Arial" w:cs="Arial"/>
                <w:sz w:val="24"/>
                <w:szCs w:val="24"/>
              </w:rPr>
            </w:pPr>
            <w:r w:rsidRPr="00611389">
              <w:rPr>
                <w:rFonts w:ascii="Arial" w:hAnsi="Arial" w:cs="Arial"/>
                <w:sz w:val="24"/>
              </w:rPr>
              <w:t>Liczba przedsiębiorstw wspartych w zakresie realizacji prac B+R. Jako pojedyncze prace B+R traktuje się kompletny proces badawczy realizowany w ramach projektu, dotyczący jednego spójnego tematu badawczego. Niezależnie od liczby realizowanych prac B+R, każde przedsiębiorstwo liczone jest tylko raz. Definicja przedsiębiorstwa znajduje się we wskaźniku RCO002.</w:t>
            </w:r>
          </w:p>
        </w:tc>
      </w:tr>
      <w:tr w:rsidR="00D66FD3" w:rsidRPr="003248F2" w14:paraId="21A359FC"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D5A3CDF" w14:textId="228BFDFD" w:rsidR="00D66FD3" w:rsidRPr="003248F2" w:rsidRDefault="00043815" w:rsidP="00D66FD3">
            <w:pPr>
              <w:spacing w:after="0"/>
              <w:rPr>
                <w:rFonts w:ascii="Arial" w:hAnsi="Arial" w:cs="Arial"/>
                <w:sz w:val="24"/>
                <w:szCs w:val="24"/>
              </w:rPr>
            </w:pPr>
            <w:r>
              <w:rPr>
                <w:rFonts w:ascii="Arial" w:hAnsi="Arial" w:cs="Arial"/>
                <w:sz w:val="24"/>
                <w:szCs w:val="24"/>
              </w:rPr>
              <w:t>12</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69DE2468" w14:textId="72DCB830" w:rsidR="00D66FD3" w:rsidRPr="00611389" w:rsidRDefault="001A4F0D" w:rsidP="00D66FD3">
            <w:pPr>
              <w:spacing w:after="0"/>
              <w:rPr>
                <w:rFonts w:ascii="Arial" w:hAnsi="Arial" w:cs="Arial"/>
                <w:sz w:val="24"/>
                <w:szCs w:val="24"/>
              </w:rPr>
            </w:pPr>
            <w:r>
              <w:rPr>
                <w:rFonts w:ascii="Arial" w:hAnsi="Arial" w:cs="Arial"/>
                <w:sz w:val="24"/>
              </w:rPr>
              <w:t>WLWK-</w:t>
            </w:r>
            <w:r w:rsidR="00C171B9" w:rsidRPr="00611389">
              <w:rPr>
                <w:rFonts w:ascii="Arial" w:hAnsi="Arial" w:cs="Arial"/>
                <w:sz w:val="24"/>
              </w:rPr>
              <w:t>PLRO199 Liczba projektów, w których sfinansowano koszty racjonalnych usprawnień dla osób z niepełnosprawnościami (EFRR/FST/FS)</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0A278B1E" w14:textId="5BE6DA07" w:rsidR="00D66FD3" w:rsidRPr="00611389" w:rsidRDefault="00C171B9"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A10AF81" w14:textId="15B553FE" w:rsidR="00D66FD3" w:rsidRPr="00611389" w:rsidRDefault="00C171B9"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29DCC550" w14:textId="77777777" w:rsidR="00D66FD3" w:rsidRPr="00611389" w:rsidRDefault="00C171B9" w:rsidP="00D66FD3">
            <w:pPr>
              <w:spacing w:after="0"/>
              <w:rPr>
                <w:rFonts w:ascii="Arial" w:hAnsi="Arial" w:cs="Arial"/>
                <w:sz w:val="24"/>
              </w:rPr>
            </w:pPr>
            <w:r w:rsidRPr="00611389">
              <w:rPr>
                <w:rFonts w:ascii="Arial" w:hAnsi="Arial" w:cs="Arial"/>
                <w:sz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5D29A4C7" w14:textId="14D3B3B7" w:rsidR="00C171B9" w:rsidRPr="00611389" w:rsidRDefault="00C171B9" w:rsidP="00D66FD3">
            <w:pPr>
              <w:spacing w:after="0"/>
              <w:rPr>
                <w:rFonts w:ascii="Arial" w:hAnsi="Arial" w:cs="Arial"/>
                <w:sz w:val="24"/>
                <w:szCs w:val="24"/>
              </w:rPr>
            </w:pPr>
            <w:r w:rsidRPr="00611389">
              <w:rPr>
                <w:rFonts w:ascii="Arial" w:hAnsi="Arial" w:cs="Arial"/>
                <w:sz w:val="24"/>
              </w:rPr>
              <w:t xml:space="preserve">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w:t>
            </w:r>
            <w:r w:rsidRPr="00611389">
              <w:rPr>
                <w:rFonts w:ascii="Arial" w:hAnsi="Arial" w:cs="Arial"/>
                <w:sz w:val="24"/>
              </w:rPr>
              <w:lastRenderedPageBreak/>
              <w:t>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A344A3" w:rsidRPr="003248F2" w14:paraId="02FC6E6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7C26096" w14:textId="0D21EDE2" w:rsidR="00A344A3" w:rsidRPr="003248F2" w:rsidRDefault="00A344A3" w:rsidP="00D66FD3">
            <w:pPr>
              <w:spacing w:after="0"/>
              <w:rPr>
                <w:rFonts w:ascii="Arial" w:hAnsi="Arial" w:cs="Arial"/>
                <w:sz w:val="24"/>
                <w:szCs w:val="24"/>
              </w:rPr>
            </w:pPr>
            <w:r>
              <w:rPr>
                <w:rFonts w:ascii="Arial" w:hAnsi="Arial" w:cs="Arial"/>
                <w:sz w:val="24"/>
                <w:szCs w:val="24"/>
              </w:rPr>
              <w:lastRenderedPageBreak/>
              <w:t>1</w:t>
            </w:r>
            <w:r w:rsidR="00043815">
              <w:rPr>
                <w:rFonts w:ascii="Arial" w:hAnsi="Arial" w:cs="Arial"/>
                <w:sz w:val="24"/>
                <w:szCs w:val="24"/>
              </w:rPr>
              <w:t>3</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7005FDD" w14:textId="2C918EEF" w:rsidR="00A344A3" w:rsidRPr="00611389" w:rsidRDefault="001A4F0D" w:rsidP="00D66FD3">
            <w:pPr>
              <w:spacing w:after="0"/>
              <w:rPr>
                <w:rFonts w:ascii="Arial" w:hAnsi="Arial" w:cs="Arial"/>
                <w:sz w:val="24"/>
                <w:szCs w:val="24"/>
              </w:rPr>
            </w:pPr>
            <w:r>
              <w:rPr>
                <w:rFonts w:ascii="Arial" w:hAnsi="Arial" w:cs="Arial"/>
                <w:sz w:val="24"/>
                <w:szCs w:val="24"/>
              </w:rPr>
              <w:t>PROG-</w:t>
            </w:r>
            <w:r w:rsidR="00A344A3" w:rsidRPr="00A344A3">
              <w:rPr>
                <w:rFonts w:ascii="Arial" w:hAnsi="Arial" w:cs="Arial"/>
                <w:sz w:val="24"/>
                <w:szCs w:val="24"/>
              </w:rPr>
              <w:t xml:space="preserve">FELDO041 Nominalna wartość sprzętu na potrzeby badań naukowych i </w:t>
            </w:r>
            <w:r w:rsidR="003700CA" w:rsidRPr="00A344A3">
              <w:rPr>
                <w:rFonts w:ascii="Arial" w:hAnsi="Arial" w:cs="Arial"/>
                <w:sz w:val="24"/>
                <w:szCs w:val="24"/>
              </w:rPr>
              <w:t>innowacji</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46A8769" w14:textId="76EA0872" w:rsidR="00A344A3" w:rsidRPr="00611389" w:rsidRDefault="00A344A3" w:rsidP="00D66FD3">
            <w:pPr>
              <w:spacing w:after="0"/>
              <w:rPr>
                <w:rFonts w:ascii="Arial" w:hAnsi="Arial" w:cs="Arial"/>
                <w:sz w:val="24"/>
                <w:szCs w:val="24"/>
              </w:rPr>
            </w:pPr>
            <w:r>
              <w:rPr>
                <w:rFonts w:ascii="Arial" w:hAnsi="Arial" w:cs="Arial"/>
                <w:sz w:val="24"/>
                <w:szCs w:val="24"/>
              </w:rPr>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5D9B729" w14:textId="4E49A443" w:rsidR="00A344A3" w:rsidRPr="00611389" w:rsidRDefault="00A344A3" w:rsidP="00D66FD3">
            <w:pPr>
              <w:spacing w:after="0"/>
              <w:rPr>
                <w:rFonts w:ascii="Arial" w:hAnsi="Arial" w:cs="Arial"/>
                <w:sz w:val="24"/>
                <w:szCs w:val="24"/>
              </w:rPr>
            </w:pPr>
            <w:r w:rsidRPr="00A344A3">
              <w:rPr>
                <w:rFonts w:ascii="Arial" w:hAnsi="Arial" w:cs="Arial"/>
                <w:sz w:val="24"/>
                <w:szCs w:val="24"/>
              </w:rPr>
              <w:t>produkt/specyficzny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6C548EF0" w14:textId="2260E3C6" w:rsidR="00A344A3" w:rsidRPr="00611389" w:rsidRDefault="00A344A3" w:rsidP="00A7390F">
            <w:pPr>
              <w:spacing w:after="0"/>
              <w:rPr>
                <w:rFonts w:ascii="Arial" w:hAnsi="Arial" w:cs="Arial"/>
                <w:sz w:val="24"/>
                <w:szCs w:val="24"/>
              </w:rPr>
            </w:pPr>
            <w:r w:rsidRPr="00A344A3">
              <w:rPr>
                <w:rFonts w:ascii="Arial" w:hAnsi="Arial" w:cs="Arial"/>
                <w:sz w:val="24"/>
                <w:szCs w:val="24"/>
              </w:rPr>
              <w:t>Łączna wartość (nabycia) wspieranego sprzętu na potrzeby badań naukowych i innowacji. Sprzęt obejmuje wszelkie przyrządy, narzędzia i urządzenia wykorzystywane bezpośrednio do działań na rzecz badań i rozwoju. Nie obejmuje na przykład substancji chemicznych lub innych materiałów pomocniczych wykorzystywanych do przeprowadzania eksperymentów lub innych działań badawczych.</w:t>
            </w:r>
          </w:p>
        </w:tc>
      </w:tr>
      <w:tr w:rsidR="00D66FD3" w:rsidRPr="003248F2" w14:paraId="61F66243"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E1B20D3" w14:textId="70CAF0B9" w:rsidR="00D66FD3" w:rsidRPr="003248F2" w:rsidRDefault="00A344A3" w:rsidP="00D66FD3">
            <w:pPr>
              <w:spacing w:after="0"/>
              <w:rPr>
                <w:rFonts w:ascii="Arial" w:hAnsi="Arial" w:cs="Arial"/>
                <w:sz w:val="24"/>
                <w:szCs w:val="24"/>
              </w:rPr>
            </w:pPr>
            <w:r>
              <w:rPr>
                <w:rFonts w:ascii="Arial" w:hAnsi="Arial" w:cs="Arial"/>
                <w:sz w:val="24"/>
                <w:szCs w:val="24"/>
              </w:rPr>
              <w:lastRenderedPageBreak/>
              <w:t>1</w:t>
            </w:r>
            <w:r w:rsidR="00043815">
              <w:rPr>
                <w:rFonts w:ascii="Arial" w:hAnsi="Arial" w:cs="Arial"/>
                <w:sz w:val="24"/>
                <w:szCs w:val="24"/>
              </w:rPr>
              <w:t>4</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1C72EF8" w14:textId="76AC27FF" w:rsidR="00D66FD3" w:rsidRPr="00611389" w:rsidRDefault="00934F9F" w:rsidP="00D66FD3">
            <w:pPr>
              <w:spacing w:after="0"/>
              <w:rPr>
                <w:rFonts w:ascii="Arial" w:hAnsi="Arial" w:cs="Arial"/>
                <w:sz w:val="24"/>
                <w:szCs w:val="24"/>
              </w:rPr>
            </w:pPr>
            <w:r>
              <w:rPr>
                <w:rFonts w:ascii="Arial" w:hAnsi="Arial" w:cs="Arial"/>
                <w:sz w:val="24"/>
                <w:szCs w:val="24"/>
              </w:rPr>
              <w:t>WLWK-</w:t>
            </w:r>
            <w:r w:rsidR="00A7390F" w:rsidRPr="00611389">
              <w:rPr>
                <w:rFonts w:ascii="Arial" w:hAnsi="Arial" w:cs="Arial"/>
                <w:sz w:val="24"/>
                <w:szCs w:val="24"/>
              </w:rPr>
              <w:t>RCR001 Miejsca pracy utworzone we wspieranych jednostkach</w:t>
            </w:r>
            <w:r w:rsidR="003700CA">
              <w:rPr>
                <w:rFonts w:ascii="Arial" w:hAnsi="Arial" w:cs="Arial"/>
                <w:sz w:val="24"/>
                <w:szCs w:val="24"/>
              </w:rPr>
              <w:t xml:space="preserve"> </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161C4A5" w14:textId="6334762A" w:rsidR="00D66FD3" w:rsidRPr="00611389" w:rsidRDefault="00A7390F" w:rsidP="00D66FD3">
            <w:pPr>
              <w:spacing w:after="0"/>
              <w:rPr>
                <w:rFonts w:ascii="Arial" w:hAnsi="Arial" w:cs="Arial"/>
                <w:sz w:val="24"/>
                <w:szCs w:val="24"/>
              </w:rPr>
            </w:pPr>
            <w:r w:rsidRPr="00611389">
              <w:rPr>
                <w:rFonts w:ascii="Arial" w:hAnsi="Arial" w:cs="Arial"/>
                <w:sz w:val="24"/>
                <w:szCs w:val="24"/>
              </w:rPr>
              <w:t>EPC</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7EC1E500" w14:textId="4558DD86" w:rsidR="00D66FD3" w:rsidRPr="00611389" w:rsidRDefault="00A7390F" w:rsidP="00D66FD3">
            <w:pPr>
              <w:spacing w:after="0"/>
              <w:rPr>
                <w:rFonts w:ascii="Arial" w:hAnsi="Arial" w:cs="Arial"/>
                <w:sz w:val="24"/>
                <w:szCs w:val="24"/>
              </w:rPr>
            </w:pPr>
            <w:r w:rsidRPr="00611389">
              <w:rPr>
                <w:rFonts w:ascii="Arial" w:hAnsi="Arial" w:cs="Arial"/>
                <w:sz w:val="24"/>
                <w:szCs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6F7B22E3" w14:textId="2522006D" w:rsidR="00D66FD3" w:rsidRPr="00611389" w:rsidRDefault="00A7390F" w:rsidP="00A7390F">
            <w:pPr>
              <w:spacing w:after="0"/>
              <w:rPr>
                <w:rFonts w:ascii="Arial" w:hAnsi="Arial" w:cs="Arial"/>
                <w:sz w:val="24"/>
                <w:szCs w:val="24"/>
              </w:rPr>
            </w:pPr>
            <w:r w:rsidRPr="00611389">
              <w:rPr>
                <w:rFonts w:ascii="Arial" w:hAnsi="Arial" w:cs="Arial"/>
                <w:sz w:val="24"/>
                <w:szCs w:val="24"/>
              </w:rPr>
              <w:t>Liczba miejsc pracy wyrażona w średnich rocznych ekwiwalentach pełnego czasu pracy (EPC) utworzonych w 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(liczonymi dla roku, w którym upływa 12 miesięcy od daty zakończenia realizacji projektu) i rok przed rozpoczęciem realizacji projektu (określonym w dniu złożenia wniosku o dofinasowanie). Zakończenie projektu rozumiane jest jako zakończenie rzeczowe.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p>
        </w:tc>
      </w:tr>
      <w:tr w:rsidR="00D66FD3" w:rsidRPr="003248F2" w14:paraId="0B87EE78"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3342A56" w14:textId="39F873A4" w:rsidR="00D66FD3" w:rsidRPr="003248F2" w:rsidRDefault="005D3082" w:rsidP="00D66FD3">
            <w:pPr>
              <w:spacing w:after="0"/>
              <w:rPr>
                <w:rFonts w:ascii="Arial" w:hAnsi="Arial" w:cs="Arial"/>
                <w:sz w:val="24"/>
                <w:szCs w:val="24"/>
              </w:rPr>
            </w:pPr>
            <w:r>
              <w:rPr>
                <w:rFonts w:ascii="Arial" w:hAnsi="Arial" w:cs="Arial"/>
                <w:sz w:val="24"/>
                <w:szCs w:val="24"/>
              </w:rPr>
              <w:lastRenderedPageBreak/>
              <w:t>1</w:t>
            </w:r>
            <w:r w:rsidR="00043815">
              <w:rPr>
                <w:rFonts w:ascii="Arial" w:hAnsi="Arial" w:cs="Arial"/>
                <w:sz w:val="24"/>
                <w:szCs w:val="24"/>
              </w:rPr>
              <w:t>5</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43490FA4" w14:textId="4F2109CB" w:rsidR="00D66FD3" w:rsidRPr="00611389" w:rsidRDefault="00965D30" w:rsidP="00D66FD3">
            <w:pPr>
              <w:spacing w:after="0"/>
              <w:rPr>
                <w:rFonts w:ascii="Arial" w:hAnsi="Arial" w:cs="Arial"/>
                <w:sz w:val="24"/>
                <w:szCs w:val="24"/>
              </w:rPr>
            </w:pPr>
            <w:r>
              <w:rPr>
                <w:rFonts w:ascii="Arial" w:hAnsi="Arial" w:cs="Arial"/>
                <w:sz w:val="24"/>
              </w:rPr>
              <w:t>WLWK-</w:t>
            </w:r>
            <w:r w:rsidR="001C5CBC" w:rsidRPr="00611389">
              <w:rPr>
                <w:rFonts w:ascii="Arial" w:hAnsi="Arial" w:cs="Arial"/>
                <w:sz w:val="24"/>
              </w:rPr>
              <w:t xml:space="preserve">PLRR001 Wartość nakładów na działalność </w:t>
            </w:r>
            <w:r w:rsidR="000D35DC" w:rsidRPr="00611389">
              <w:rPr>
                <w:rFonts w:ascii="Arial" w:hAnsi="Arial" w:cs="Arial"/>
                <w:sz w:val="24"/>
              </w:rPr>
              <w:t>B</w:t>
            </w:r>
            <w:r w:rsidR="001C5CBC" w:rsidRPr="00611389">
              <w:rPr>
                <w:rFonts w:ascii="Arial" w:hAnsi="Arial" w:cs="Arial"/>
                <w:sz w:val="24"/>
              </w:rPr>
              <w:t>+R we wspartych przedsiębiorstwach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4E9DDB8" w14:textId="375FDA1B" w:rsidR="00D66FD3" w:rsidRPr="00611389" w:rsidRDefault="001C5CBC" w:rsidP="00D66FD3">
            <w:pPr>
              <w:spacing w:after="0"/>
              <w:rPr>
                <w:rFonts w:ascii="Arial" w:hAnsi="Arial" w:cs="Arial"/>
                <w:sz w:val="24"/>
                <w:szCs w:val="24"/>
              </w:rPr>
            </w:pPr>
            <w:r w:rsidRPr="00611389">
              <w:rPr>
                <w:rFonts w:ascii="Arial" w:hAnsi="Arial" w:cs="Arial"/>
                <w:sz w:val="24"/>
              </w:rPr>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7AEBBF32" w14:textId="01D08AD1" w:rsidR="00D66FD3" w:rsidRPr="00611389" w:rsidRDefault="001C5CBC" w:rsidP="00D66FD3">
            <w:pPr>
              <w:spacing w:after="0"/>
              <w:rPr>
                <w:rFonts w:ascii="Arial" w:hAnsi="Arial" w:cs="Arial"/>
                <w:sz w:val="24"/>
                <w:szCs w:val="24"/>
              </w:rPr>
            </w:pPr>
            <w:r w:rsidRPr="00611389">
              <w:rPr>
                <w:rFonts w:ascii="Arial" w:hAnsi="Arial" w:cs="Arial"/>
                <w:sz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4112DBD2" w14:textId="3495DB35" w:rsidR="00D66FD3" w:rsidRPr="00611389" w:rsidRDefault="001C5CBC" w:rsidP="00D66FD3">
            <w:pPr>
              <w:spacing w:after="0"/>
              <w:rPr>
                <w:rFonts w:ascii="Arial" w:hAnsi="Arial" w:cs="Arial"/>
                <w:sz w:val="24"/>
                <w:szCs w:val="24"/>
              </w:rPr>
            </w:pPr>
            <w:r w:rsidRPr="00611389">
              <w:rPr>
                <w:rFonts w:ascii="Arial" w:hAnsi="Arial" w:cs="Arial"/>
                <w:sz w:val="24"/>
              </w:rPr>
              <w:t>Wskaźnik mierzy całkowitą wartość nakładów na działalność B+R poniesionych przez przedsiębiorstwo w związku z realizacją projektu.</w:t>
            </w:r>
          </w:p>
        </w:tc>
      </w:tr>
      <w:tr w:rsidR="005556D5" w:rsidRPr="003248F2" w14:paraId="7E16FA63"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1F41EE42" w14:textId="4E8DD78F" w:rsidR="005556D5" w:rsidRDefault="00043815" w:rsidP="00D66FD3">
            <w:pPr>
              <w:spacing w:after="0"/>
              <w:rPr>
                <w:rFonts w:ascii="Arial" w:hAnsi="Arial" w:cs="Arial"/>
                <w:sz w:val="24"/>
                <w:szCs w:val="24"/>
              </w:rPr>
            </w:pPr>
            <w:r>
              <w:rPr>
                <w:rFonts w:ascii="Arial" w:hAnsi="Arial" w:cs="Arial"/>
                <w:sz w:val="24"/>
                <w:szCs w:val="24"/>
              </w:rPr>
              <w:t>16</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3F5E0C07" w14:textId="078E94D2" w:rsidR="005556D5" w:rsidRPr="00611389" w:rsidRDefault="00965D30" w:rsidP="00D66FD3">
            <w:pPr>
              <w:spacing w:after="0"/>
              <w:rPr>
                <w:rFonts w:ascii="Arial" w:hAnsi="Arial" w:cs="Arial"/>
                <w:sz w:val="24"/>
                <w:szCs w:val="24"/>
              </w:rPr>
            </w:pPr>
            <w:r>
              <w:rPr>
                <w:rFonts w:ascii="Arial" w:hAnsi="Arial" w:cs="Arial"/>
                <w:sz w:val="24"/>
                <w:szCs w:val="24"/>
              </w:rPr>
              <w:t>WLWK-</w:t>
            </w:r>
            <w:r w:rsidR="005556D5" w:rsidRPr="005556D5">
              <w:rPr>
                <w:rFonts w:ascii="Arial" w:hAnsi="Arial" w:cs="Arial"/>
                <w:sz w:val="24"/>
                <w:szCs w:val="24"/>
              </w:rPr>
              <w:t>PLRR002 Wartość inwestycji prywatnych uzupełniających wsparcie publiczne - dotacje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6004F46" w14:textId="67E0B6FC" w:rsidR="005556D5" w:rsidRPr="00611389" w:rsidRDefault="005556D5" w:rsidP="00D66FD3">
            <w:pPr>
              <w:spacing w:after="0"/>
              <w:rPr>
                <w:rFonts w:ascii="Arial" w:hAnsi="Arial" w:cs="Arial"/>
                <w:sz w:val="24"/>
                <w:szCs w:val="24"/>
              </w:rPr>
            </w:pPr>
            <w:r>
              <w:rPr>
                <w:rFonts w:ascii="Arial" w:hAnsi="Arial" w:cs="Arial"/>
                <w:sz w:val="24"/>
                <w:szCs w:val="24"/>
              </w:rPr>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4EDE508" w14:textId="4937FB00" w:rsidR="005556D5" w:rsidRPr="00611389" w:rsidRDefault="005556D5" w:rsidP="00D66FD3">
            <w:pPr>
              <w:spacing w:after="0"/>
              <w:rPr>
                <w:rFonts w:ascii="Arial" w:hAnsi="Arial" w:cs="Arial"/>
                <w:sz w:val="24"/>
                <w:szCs w:val="24"/>
              </w:rPr>
            </w:pPr>
            <w:r w:rsidRPr="005556D5">
              <w:rPr>
                <w:rFonts w:ascii="Arial" w:hAnsi="Arial" w:cs="Arial"/>
                <w:sz w:val="24"/>
                <w:szCs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55782B03" w14:textId="7CD08694" w:rsidR="005556D5" w:rsidRPr="00611389" w:rsidRDefault="005556D5" w:rsidP="00D66FD3">
            <w:pPr>
              <w:spacing w:after="0"/>
              <w:rPr>
                <w:rFonts w:ascii="Arial" w:hAnsi="Arial" w:cs="Arial"/>
                <w:sz w:val="24"/>
                <w:szCs w:val="24"/>
              </w:rPr>
            </w:pPr>
            <w:r w:rsidRPr="005556D5">
              <w:rPr>
                <w:rFonts w:ascii="Arial" w:hAnsi="Arial" w:cs="Arial"/>
                <w:sz w:val="24"/>
                <w:szCs w:val="24"/>
              </w:rPr>
              <w:t>Wskaźnik mierzy całkowity wkład prywatny współfinansujący wspierane projekty, w przypadku których formą wsparcia jest dotacja. Wskaźnik obejmuje również niekwalifikowalną część kosztów projektu, w tym podatek VAT. W przypadku projektów realizowanych przez przedsiębiorstwa państwowe, do wartości wskaźnika wliczany jest wkład własny tego przedsiębiorstwa. Wskaźnik powinien być obliczany na podstawie współfinansowania prywatnego przewidzianego w umowach o dofinansowanie dla wspieranych</w:t>
            </w:r>
            <w:r>
              <w:rPr>
                <w:rFonts w:ascii="Arial" w:hAnsi="Arial" w:cs="Arial"/>
                <w:sz w:val="24"/>
                <w:szCs w:val="24"/>
              </w:rPr>
              <w:t xml:space="preserve"> projektów.</w:t>
            </w:r>
          </w:p>
        </w:tc>
      </w:tr>
      <w:tr w:rsidR="00C35425" w:rsidRPr="003248F2" w14:paraId="2724E9B6"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35AFDB5" w14:textId="1D9A59EC" w:rsidR="00C35425" w:rsidRDefault="00043815" w:rsidP="00D66FD3">
            <w:pPr>
              <w:spacing w:after="0"/>
              <w:rPr>
                <w:rFonts w:ascii="Arial" w:hAnsi="Arial" w:cs="Arial"/>
                <w:sz w:val="24"/>
                <w:szCs w:val="24"/>
              </w:rPr>
            </w:pPr>
            <w:r>
              <w:rPr>
                <w:rFonts w:ascii="Arial" w:hAnsi="Arial" w:cs="Arial"/>
                <w:sz w:val="24"/>
                <w:szCs w:val="24"/>
              </w:rPr>
              <w:t>17</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14C3D0EA" w14:textId="7A081CAF" w:rsidR="00C35425" w:rsidRPr="00611389" w:rsidRDefault="00E71864" w:rsidP="00D66FD3">
            <w:pPr>
              <w:spacing w:after="0"/>
              <w:rPr>
                <w:rFonts w:ascii="Arial" w:hAnsi="Arial" w:cs="Arial"/>
                <w:sz w:val="24"/>
              </w:rPr>
            </w:pPr>
            <w:r>
              <w:rPr>
                <w:rFonts w:ascii="Arial" w:hAnsi="Arial" w:cs="Arial"/>
                <w:sz w:val="24"/>
              </w:rPr>
              <w:t>WLWK-</w:t>
            </w:r>
            <w:r w:rsidR="00C35425" w:rsidRPr="00C35425">
              <w:rPr>
                <w:rFonts w:ascii="Arial" w:hAnsi="Arial" w:cs="Arial"/>
                <w:sz w:val="24"/>
              </w:rPr>
              <w:t>PLRR077 Liczba przedsiębiorstw korzystających ze wspartej infrastruktury badawczej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732516A" w14:textId="5E707A71" w:rsidR="00C35425" w:rsidRPr="00611389" w:rsidRDefault="00C35425" w:rsidP="00D66FD3">
            <w:pPr>
              <w:spacing w:after="0"/>
              <w:rPr>
                <w:rFonts w:ascii="Arial" w:hAnsi="Arial" w:cs="Arial"/>
                <w:sz w:val="24"/>
              </w:rPr>
            </w:pPr>
            <w:r>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06A1006" w14:textId="208168D4" w:rsidR="00C35425" w:rsidRPr="00611389" w:rsidRDefault="00C35425" w:rsidP="00D66FD3">
            <w:pPr>
              <w:spacing w:after="0"/>
              <w:rPr>
                <w:rFonts w:ascii="Arial" w:hAnsi="Arial" w:cs="Arial"/>
                <w:sz w:val="24"/>
              </w:rPr>
            </w:pPr>
            <w:r w:rsidRPr="00C35425">
              <w:rPr>
                <w:rFonts w:ascii="Arial" w:hAnsi="Arial" w:cs="Arial"/>
                <w:sz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7C2C7223" w14:textId="77777777" w:rsidR="00E71864" w:rsidRDefault="00C35425" w:rsidP="00D66FD3">
            <w:pPr>
              <w:spacing w:after="0"/>
              <w:rPr>
                <w:rFonts w:ascii="Arial" w:hAnsi="Arial" w:cs="Arial"/>
                <w:sz w:val="24"/>
              </w:rPr>
            </w:pPr>
            <w:r w:rsidRPr="00C35425">
              <w:rPr>
                <w:rFonts w:ascii="Arial" w:hAnsi="Arial" w:cs="Arial"/>
                <w:sz w:val="24"/>
              </w:rPr>
              <w:t xml:space="preserve">Liczba przedsiębiorstw, które w ramach działalności B+R skorzystały (samodzielnie, we współpracy z jednostką naukową, poprzez jednostkę naukową a na zlecenie przedsiębiorstwa) ze wspartej infrastruktury badawczej, niezależnie od tego, kto był beneficjentem projektu. Wskaźnik pokazuje w jakim stopniu jest wykorzystywana infrastruktura badawcza. </w:t>
            </w:r>
          </w:p>
          <w:p w14:paraId="48DA15C2" w14:textId="77777777" w:rsidR="00E71864" w:rsidRPr="00E71864" w:rsidRDefault="00E71864" w:rsidP="00E71864">
            <w:pPr>
              <w:spacing w:after="0"/>
              <w:rPr>
                <w:rFonts w:ascii="Arial" w:hAnsi="Arial" w:cs="Arial"/>
                <w:sz w:val="24"/>
              </w:rPr>
            </w:pPr>
            <w:r w:rsidRPr="00E71864">
              <w:rPr>
                <w:rFonts w:ascii="Arial" w:hAnsi="Arial" w:cs="Arial"/>
                <w:sz w:val="24"/>
              </w:rPr>
              <w:t xml:space="preserve">Przedsiębiorstwo w rozumieniu art. 1 załącznika I do rozporządzenia Komisji (UE) nr 651/2014 z dnia 17 </w:t>
            </w:r>
            <w:r w:rsidRPr="00E71864">
              <w:rPr>
                <w:rFonts w:ascii="Arial" w:hAnsi="Arial" w:cs="Arial"/>
                <w:sz w:val="24"/>
              </w:rPr>
              <w:lastRenderedPageBreak/>
              <w:t>czerwca 2014 roku uznającego niektóre rodzaje pomocy za zgodne z rynkiem wewnętrznym z zastosowaniem art.107 i 108 Traktatu jest rozumiane jako podmiot prowadzący działalność gospodarczą bez względu na jego formę prawną.</w:t>
            </w:r>
          </w:p>
          <w:p w14:paraId="71819302" w14:textId="77777777" w:rsidR="00E71864" w:rsidRPr="00E71864" w:rsidRDefault="00E71864" w:rsidP="00E71864">
            <w:pPr>
              <w:spacing w:after="0"/>
              <w:rPr>
                <w:rFonts w:ascii="Arial" w:hAnsi="Arial" w:cs="Arial"/>
                <w:sz w:val="24"/>
              </w:rPr>
            </w:pPr>
            <w:r w:rsidRPr="00E71864">
              <w:rPr>
                <w:rFonts w:ascii="Arial" w:hAnsi="Arial" w:cs="Arial"/>
                <w:sz w:val="24"/>
              </w:rPr>
              <w:t>Zalicza się tu w szczególności osoby prowadzące działalność na własny rachunek oraz firmy rodzinne zajmujące się rzemiosłem lub inną działalnością, a także spółki lub stowarzyszenia prowadzące regularną działalność gospodarczą.</w:t>
            </w:r>
          </w:p>
          <w:p w14:paraId="0DDA9FC7" w14:textId="738D2973" w:rsidR="00DE6513" w:rsidRDefault="00C35425" w:rsidP="00D66FD3">
            <w:pPr>
              <w:spacing w:after="0"/>
              <w:rPr>
                <w:rFonts w:ascii="Arial" w:hAnsi="Arial" w:cs="Arial"/>
                <w:sz w:val="24"/>
              </w:rPr>
            </w:pPr>
            <w:r w:rsidRPr="00C35425">
              <w:rPr>
                <w:rFonts w:ascii="Arial" w:hAnsi="Arial" w:cs="Arial"/>
                <w:sz w:val="24"/>
              </w:rPr>
              <w:t xml:space="preserve">W </w:t>
            </w:r>
            <w:proofErr w:type="gramStart"/>
            <w:r w:rsidRPr="00C35425">
              <w:rPr>
                <w:rFonts w:ascii="Arial" w:hAnsi="Arial" w:cs="Arial"/>
                <w:sz w:val="24"/>
              </w:rPr>
              <w:t>przypadku</w:t>
            </w:r>
            <w:proofErr w:type="gramEnd"/>
            <w:r w:rsidRPr="00C35425">
              <w:rPr>
                <w:rFonts w:ascii="Arial" w:hAnsi="Arial" w:cs="Arial"/>
                <w:sz w:val="24"/>
              </w:rPr>
              <w:t xml:space="preserve"> gdy wnioskodawcą pozostaje jedno przedsiębiorstwo, to we wskaźniku należy wskazać wartość docelową „1”. W </w:t>
            </w:r>
            <w:proofErr w:type="gramStart"/>
            <w:r w:rsidRPr="00C35425">
              <w:rPr>
                <w:rFonts w:ascii="Arial" w:hAnsi="Arial" w:cs="Arial"/>
                <w:sz w:val="24"/>
              </w:rPr>
              <w:t>przypadku</w:t>
            </w:r>
            <w:proofErr w:type="gramEnd"/>
            <w:r w:rsidRPr="00C35425">
              <w:rPr>
                <w:rFonts w:ascii="Arial" w:hAnsi="Arial" w:cs="Arial"/>
                <w:sz w:val="24"/>
              </w:rPr>
              <w:t xml:space="preserve"> gdy wnioskodawcą pozostaje konsorcjum, wówczas w wartości docelowej należy uwzględnić wszystkie przedsiębiorstwa pozostające członkami konsorcjum. Na poziomie projektu – to samo przedsiębiorstwo wykazywane jest jeden raz niezależnie od tego, ile projektów zrealizowało przy wykorzystaniu wspartej infrastruktury badawczej. „Infrastruktura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w:t>
            </w:r>
            <w:r w:rsidRPr="00C35425">
              <w:rPr>
                <w:rFonts w:ascii="Arial" w:hAnsi="Arial" w:cs="Arial"/>
                <w:sz w:val="24"/>
              </w:rPr>
              <w:lastRenderedPageBreak/>
              <w:t>naukowe, infrastrukturę opartą na technologiach informacyjno-komunikacyjnych, taką jak sieć, infrastrukturę komputerową, oprogramowanie i</w:t>
            </w:r>
            <w:r>
              <w:rPr>
                <w:rFonts w:ascii="Arial" w:hAnsi="Arial" w:cs="Arial"/>
                <w:sz w:val="24"/>
              </w:rPr>
              <w:t xml:space="preserve"> </w:t>
            </w:r>
            <w:r w:rsidRPr="00C35425">
              <w:rPr>
                <w:rFonts w:ascii="Arial" w:hAnsi="Arial" w:cs="Arial"/>
                <w:sz w:val="24"/>
              </w:rPr>
              <w:t xml:space="preserve">infrastrukturę łączności lub wszelki inny podmiot o wyjątkowym charakterze niezbędny do 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 </w:t>
            </w:r>
          </w:p>
          <w:p w14:paraId="1FF578B8" w14:textId="285FECDD" w:rsidR="00C35425" w:rsidRPr="00611389" w:rsidRDefault="002041A7" w:rsidP="002041A7">
            <w:pPr>
              <w:spacing w:after="0"/>
              <w:rPr>
                <w:rFonts w:ascii="Arial" w:hAnsi="Arial" w:cs="Arial"/>
                <w:sz w:val="24"/>
              </w:rPr>
            </w:pPr>
            <w:r w:rsidRPr="00CF26E2">
              <w:rPr>
                <w:rFonts w:ascii="Arial" w:hAnsi="Arial" w:cs="Arial"/>
                <w:sz w:val="24"/>
                <w:szCs w:val="24"/>
              </w:rPr>
              <w:t>Badania przemysłowe – prace mające na celu zdobycie nowej wiedzy oraz umiejętności, nastawione na opracowywanie nowych produktów, procesów lub usług lub wprowadzenie do nich znaczących ulepszeń. Przez badania przemysłowe rozumie się także badania aplikacyjne.</w:t>
            </w:r>
          </w:p>
        </w:tc>
      </w:tr>
      <w:tr w:rsidR="00C35425" w:rsidRPr="003248F2" w14:paraId="2345CC6E"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2721E4A" w14:textId="417EF66E" w:rsidR="00C35425" w:rsidRDefault="00043815" w:rsidP="00C35425">
            <w:pPr>
              <w:spacing w:after="0"/>
              <w:rPr>
                <w:rFonts w:ascii="Arial" w:hAnsi="Arial" w:cs="Arial"/>
                <w:sz w:val="24"/>
                <w:szCs w:val="24"/>
              </w:rPr>
            </w:pPr>
            <w:r>
              <w:rPr>
                <w:rFonts w:ascii="Arial" w:hAnsi="Arial" w:cs="Arial"/>
                <w:sz w:val="24"/>
                <w:szCs w:val="24"/>
              </w:rPr>
              <w:lastRenderedPageBreak/>
              <w:t>18</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F00BCDF" w14:textId="1ED03FED" w:rsidR="00C35425" w:rsidRPr="00611389" w:rsidRDefault="00167EA5" w:rsidP="00C35425">
            <w:pPr>
              <w:spacing w:after="0"/>
              <w:rPr>
                <w:rFonts w:ascii="Arial" w:hAnsi="Arial" w:cs="Arial"/>
                <w:sz w:val="24"/>
              </w:rPr>
            </w:pPr>
            <w:r>
              <w:rPr>
                <w:rFonts w:ascii="Arial" w:hAnsi="Arial" w:cs="Arial"/>
                <w:sz w:val="24"/>
              </w:rPr>
              <w:t>WLWK-</w:t>
            </w:r>
            <w:r w:rsidR="00C35425" w:rsidRPr="00C35425">
              <w:rPr>
                <w:rFonts w:ascii="Arial" w:hAnsi="Arial" w:cs="Arial"/>
                <w:sz w:val="24"/>
              </w:rPr>
              <w:t>FELDR001 Liczba projektów B+R realizowanych przy wykorzystaniu wspartej infrastruktury badawczej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A5A957F" w14:textId="55E4AF5E" w:rsidR="00C35425" w:rsidRPr="00611389" w:rsidRDefault="00C35425" w:rsidP="00C35425">
            <w:pPr>
              <w:spacing w:after="0"/>
              <w:rPr>
                <w:rFonts w:ascii="Arial" w:hAnsi="Arial" w:cs="Arial"/>
                <w:sz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402604D9" w14:textId="41288BAE" w:rsidR="00C35425" w:rsidRPr="00611389" w:rsidRDefault="00C35425" w:rsidP="00C35425">
            <w:pPr>
              <w:spacing w:after="0"/>
              <w:rPr>
                <w:rFonts w:ascii="Arial" w:hAnsi="Arial" w:cs="Arial"/>
                <w:sz w:val="24"/>
              </w:rPr>
            </w:pPr>
            <w:r w:rsidRPr="00611389">
              <w:rPr>
                <w:rFonts w:ascii="Arial" w:hAnsi="Arial" w:cs="Arial"/>
                <w:sz w:val="24"/>
              </w:rPr>
              <w:t>rezultat/specyficzny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1C2224C6" w14:textId="77777777" w:rsidR="00C35425" w:rsidRDefault="00C35425" w:rsidP="00C35425">
            <w:pPr>
              <w:spacing w:after="0"/>
              <w:rPr>
                <w:rFonts w:ascii="Arial" w:hAnsi="Arial" w:cs="Arial"/>
                <w:sz w:val="24"/>
              </w:rPr>
            </w:pPr>
            <w:r w:rsidRPr="00C35425">
              <w:rPr>
                <w:rFonts w:ascii="Arial" w:hAnsi="Arial" w:cs="Arial"/>
                <w:sz w:val="24"/>
              </w:rPr>
              <w:t xml:space="preserve">Liczba projektów obejmujących prace B+R, przy realizacji których wykorzystana została wsparta infrastruktura badawcza. Wskaźnik pokazuje w jakim stopniu jest wykorzystywana wsparta infrastruktura badawcza. Chodzi tu zatem o wszystkie projekty B+R realizowane przy wykorzystaniu wspartej infrastruktury badawczej, także przez inne podmioty. Definicja infrastruktury </w:t>
            </w:r>
            <w:r w:rsidRPr="00C35425">
              <w:rPr>
                <w:rFonts w:ascii="Arial" w:hAnsi="Arial" w:cs="Arial"/>
                <w:sz w:val="24"/>
              </w:rPr>
              <w:lastRenderedPageBreak/>
              <w:t>badawczej oraz badań naukowych znajduje się we wskaźniku PLRR077.</w:t>
            </w:r>
          </w:p>
          <w:p w14:paraId="0D94DF43" w14:textId="05D59D64" w:rsidR="00C35425" w:rsidRPr="00611389" w:rsidRDefault="00C35425" w:rsidP="00C35425">
            <w:pPr>
              <w:spacing w:after="0"/>
              <w:rPr>
                <w:rFonts w:ascii="Arial" w:hAnsi="Arial" w:cs="Arial"/>
                <w:sz w:val="24"/>
              </w:rPr>
            </w:pPr>
            <w:r w:rsidRPr="00C35425">
              <w:rPr>
                <w:rFonts w:ascii="Arial" w:hAnsi="Arial" w:cs="Arial"/>
                <w:sz w:val="24"/>
              </w:rPr>
              <w:t>W przypadku projektów dotyczących wykorzystania publicznej infrastruktury badawczej wartość docelową wskaźnika należy osiągnąć w okresie trwałości.</w:t>
            </w:r>
          </w:p>
        </w:tc>
      </w:tr>
      <w:tr w:rsidR="00C35425" w:rsidRPr="003248F2" w14:paraId="2E290EB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AE723D6" w14:textId="77578A42" w:rsidR="00C35425" w:rsidRDefault="00043815" w:rsidP="00C35425">
            <w:pPr>
              <w:spacing w:after="0"/>
              <w:rPr>
                <w:rFonts w:ascii="Arial" w:hAnsi="Arial" w:cs="Arial"/>
                <w:sz w:val="24"/>
                <w:szCs w:val="24"/>
              </w:rPr>
            </w:pPr>
            <w:r>
              <w:rPr>
                <w:rFonts w:ascii="Arial" w:hAnsi="Arial" w:cs="Arial"/>
                <w:sz w:val="24"/>
                <w:szCs w:val="24"/>
              </w:rPr>
              <w:lastRenderedPageBreak/>
              <w:t>19</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056AE44" w14:textId="22EB9C5E" w:rsidR="00C35425" w:rsidRPr="00611389" w:rsidRDefault="008000C5" w:rsidP="00C35425">
            <w:pPr>
              <w:spacing w:after="0"/>
              <w:rPr>
                <w:rFonts w:ascii="Arial" w:hAnsi="Arial" w:cs="Arial"/>
                <w:sz w:val="24"/>
              </w:rPr>
            </w:pPr>
            <w:r>
              <w:rPr>
                <w:rFonts w:ascii="Arial" w:hAnsi="Arial" w:cs="Arial"/>
                <w:sz w:val="24"/>
              </w:rPr>
              <w:t>PROG-</w:t>
            </w:r>
            <w:r w:rsidR="00C35425" w:rsidRPr="00C35425">
              <w:rPr>
                <w:rFonts w:ascii="Arial" w:hAnsi="Arial" w:cs="Arial"/>
                <w:sz w:val="24"/>
              </w:rPr>
              <w:t>FELDR016 Liczba realizowanych planów prac badawczo-rozwojowych przy wykorzystaniu wspartej infrastruktury B+R</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8686BA0" w14:textId="19C2FB65" w:rsidR="00C35425" w:rsidRPr="00611389" w:rsidRDefault="00C35425" w:rsidP="00C35425">
            <w:pPr>
              <w:spacing w:after="0"/>
              <w:rPr>
                <w:rFonts w:ascii="Arial" w:hAnsi="Arial" w:cs="Arial"/>
                <w:sz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8F5BBF4" w14:textId="683302D8" w:rsidR="00C35425" w:rsidRPr="00611389" w:rsidRDefault="00C35425" w:rsidP="00C35425">
            <w:pPr>
              <w:spacing w:after="0"/>
              <w:rPr>
                <w:rFonts w:ascii="Arial" w:hAnsi="Arial" w:cs="Arial"/>
                <w:sz w:val="24"/>
              </w:rPr>
            </w:pPr>
            <w:r w:rsidRPr="00611389">
              <w:rPr>
                <w:rFonts w:ascii="Arial" w:hAnsi="Arial" w:cs="Arial"/>
                <w:sz w:val="24"/>
              </w:rPr>
              <w:t>rezultat/specyficzny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0FF3D146" w14:textId="0693BE5E" w:rsidR="00C35425" w:rsidRDefault="00C35425" w:rsidP="00C35425">
            <w:pPr>
              <w:spacing w:after="0"/>
              <w:rPr>
                <w:rFonts w:ascii="Arial" w:hAnsi="Arial" w:cs="Arial"/>
                <w:sz w:val="24"/>
              </w:rPr>
            </w:pPr>
            <w:r w:rsidRPr="00C35425">
              <w:rPr>
                <w:rFonts w:ascii="Arial" w:hAnsi="Arial" w:cs="Arial"/>
                <w:sz w:val="24"/>
              </w:rPr>
              <w:t>Wartość docelowa wskaźnika powinna odzwierciedlać fakt realizowania, przy wykorzystaniu wspartej infrastruktury, zaplanowanego na etapie aplikowania o środki unijne, planu prac badawczo</w:t>
            </w:r>
            <w:r w:rsidR="00A533D3">
              <w:rPr>
                <w:rFonts w:ascii="Arial" w:hAnsi="Arial" w:cs="Arial"/>
                <w:sz w:val="24"/>
              </w:rPr>
              <w:t>-</w:t>
            </w:r>
            <w:r w:rsidRPr="00C35425">
              <w:rPr>
                <w:rFonts w:ascii="Arial" w:hAnsi="Arial" w:cs="Arial"/>
                <w:sz w:val="24"/>
              </w:rPr>
              <w:t>rozwojowych. Weryfikacja realizacji wskaźnika polegać będzie na sprawdzeniu czy wykonanie planu prac B+R nastąpiło zgodnie z założeniami zawartymi we wniosku o dofinansowanie. Prace B+R, są to prace związane z działalnością badawczo-rozwojową. Działalność badawczo-rozwojowa – to działalność twórcza obejmującą badania naukowe lub prace rozwojowe, podejmowana w sposób systematyczny w celu zwiększenia zasobów wiedzy oraz wykorzystania zasobów wiedzy do tworzenia nowych zastosowań.</w:t>
            </w:r>
          </w:p>
          <w:p w14:paraId="36386FE2" w14:textId="4B84E446" w:rsidR="00C35425" w:rsidRPr="00611389" w:rsidRDefault="00C35425" w:rsidP="00C35425">
            <w:pPr>
              <w:spacing w:after="0"/>
              <w:rPr>
                <w:rFonts w:ascii="Arial" w:hAnsi="Arial" w:cs="Arial"/>
                <w:sz w:val="24"/>
              </w:rPr>
            </w:pPr>
            <w:r w:rsidRPr="00C35425">
              <w:rPr>
                <w:rFonts w:ascii="Arial" w:hAnsi="Arial" w:cs="Arial"/>
                <w:sz w:val="24"/>
              </w:rPr>
              <w:t>Definicja infrastruktury badawczej oraz badań naukowych znajduje się we wskaźniku PLRR077. Wartość docelową wskaźnika należy osiągnąć w okresie trwałości, z zastrzeżeniem konieczności corocznego okazywania postępu realizacji planu prac B+R wynikającego z dokumentacji aplikacyjnej.</w:t>
            </w:r>
            <w:bookmarkStart w:id="0" w:name="_GoBack"/>
            <w:bookmarkEnd w:id="0"/>
          </w:p>
        </w:tc>
      </w:tr>
    </w:tbl>
    <w:p w14:paraId="10A10641" w14:textId="04DD5ACE" w:rsidR="00D610F7" w:rsidRPr="00780809" w:rsidRDefault="00D610F7" w:rsidP="00780809">
      <w:pPr>
        <w:tabs>
          <w:tab w:val="left" w:pos="3181"/>
        </w:tabs>
      </w:pPr>
    </w:p>
    <w:sectPr w:rsidR="00D610F7" w:rsidRPr="00780809" w:rsidSect="005A3705">
      <w:headerReference w:type="default" r:id="rId8"/>
      <w:footerReference w:type="default" r:id="rId9"/>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43BEF" w14:textId="77777777" w:rsidR="00C64A96" w:rsidRDefault="00C64A96" w:rsidP="00043A17">
      <w:pPr>
        <w:spacing w:after="0" w:line="240" w:lineRule="auto"/>
      </w:pPr>
      <w:r>
        <w:separator/>
      </w:r>
    </w:p>
  </w:endnote>
  <w:endnote w:type="continuationSeparator" w:id="0">
    <w:p w14:paraId="59E7B341" w14:textId="77777777" w:rsidR="00C64A96" w:rsidRDefault="00C64A96"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589653"/>
      <w:docPartObj>
        <w:docPartGallery w:val="Page Numbers (Bottom of Page)"/>
        <w:docPartUnique/>
      </w:docPartObj>
    </w:sdtPr>
    <w:sdtEndPr/>
    <w:sdtContent>
      <w:p w14:paraId="1DA78BB1" w14:textId="6F82ABD6" w:rsidR="00F7111B" w:rsidRDefault="00F7111B">
        <w:pPr>
          <w:pStyle w:val="Stopka"/>
          <w:jc w:val="right"/>
        </w:pPr>
        <w:r>
          <w:fldChar w:fldCharType="begin"/>
        </w:r>
        <w:r>
          <w:instrText>PAGE   \* MERGEFORMAT</w:instrText>
        </w:r>
        <w:r>
          <w:fldChar w:fldCharType="separate"/>
        </w:r>
        <w:r w:rsidR="005B25B0">
          <w:rPr>
            <w:noProof/>
          </w:rPr>
          <w:t>15</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0B81" w14:textId="77777777" w:rsidR="00C64A96" w:rsidRDefault="00C64A96" w:rsidP="00043A17">
      <w:pPr>
        <w:spacing w:after="0" w:line="240" w:lineRule="auto"/>
      </w:pPr>
      <w:r>
        <w:separator/>
      </w:r>
    </w:p>
  </w:footnote>
  <w:footnote w:type="continuationSeparator" w:id="0">
    <w:p w14:paraId="4D440E2A" w14:textId="77777777" w:rsidR="00C64A96" w:rsidRDefault="00C64A96"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044F" w14:textId="02B49617" w:rsidR="005A3705" w:rsidRDefault="005A3705" w:rsidP="005A3705">
    <w:pPr>
      <w:pStyle w:val="Nagwek"/>
      <w:jc w:val="center"/>
    </w:pPr>
    <w:r w:rsidRPr="00994E44">
      <w:rPr>
        <w:rFonts w:ascii="Arial" w:hAnsi="Arial" w:cs="Arial"/>
        <w:noProof/>
        <w:sz w:val="24"/>
        <w:szCs w:val="24"/>
        <w:lang w:eastAsia="pl-PL"/>
      </w:rPr>
      <w:drawing>
        <wp:anchor distT="0" distB="0" distL="114300" distR="114300" simplePos="0" relativeHeight="251659264" behindDoc="0" locked="0" layoutInCell="1" allowOverlap="0" wp14:anchorId="64EE99DD" wp14:editId="7D8F246E">
          <wp:simplePos x="0" y="0"/>
          <wp:positionH relativeFrom="margin">
            <wp:posOffset>1457865</wp:posOffset>
          </wp:positionH>
          <wp:positionV relativeFrom="paragraph">
            <wp:posOffset>-138657</wp:posOffset>
          </wp:positionV>
          <wp:extent cx="6214745" cy="660400"/>
          <wp:effectExtent l="0" t="0" r="0" b="6350"/>
          <wp:wrapNone/>
          <wp:docPr id="9" name="Obraz 9"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B352DC"/>
    <w:multiLevelType w:val="hybridMultilevel"/>
    <w:tmpl w:val="78640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1F79C5"/>
    <w:multiLevelType w:val="hybridMultilevel"/>
    <w:tmpl w:val="7E2CF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num>
  <w:num w:numId="3">
    <w:abstractNumId w:val="6"/>
  </w:num>
  <w:num w:numId="4">
    <w:abstractNumId w:val="6"/>
  </w:num>
  <w:num w:numId="5">
    <w:abstractNumId w:val="4"/>
  </w:num>
  <w:num w:numId="6">
    <w:abstractNumId w:val="0"/>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43"/>
    <w:rsid w:val="000006D0"/>
    <w:rsid w:val="00001330"/>
    <w:rsid w:val="00001623"/>
    <w:rsid w:val="000145B8"/>
    <w:rsid w:val="00021B04"/>
    <w:rsid w:val="00025D4A"/>
    <w:rsid w:val="00025E4F"/>
    <w:rsid w:val="00034146"/>
    <w:rsid w:val="00035C8D"/>
    <w:rsid w:val="00041EB0"/>
    <w:rsid w:val="00043815"/>
    <w:rsid w:val="00043A17"/>
    <w:rsid w:val="00047B6A"/>
    <w:rsid w:val="00050D0B"/>
    <w:rsid w:val="000521ED"/>
    <w:rsid w:val="00061EBE"/>
    <w:rsid w:val="00062764"/>
    <w:rsid w:val="00064686"/>
    <w:rsid w:val="0007508A"/>
    <w:rsid w:val="0007508F"/>
    <w:rsid w:val="0008247A"/>
    <w:rsid w:val="000930F5"/>
    <w:rsid w:val="000A5C6A"/>
    <w:rsid w:val="000B08F3"/>
    <w:rsid w:val="000C6E11"/>
    <w:rsid w:val="000D0C61"/>
    <w:rsid w:val="000D24F5"/>
    <w:rsid w:val="000D2F29"/>
    <w:rsid w:val="000D35DC"/>
    <w:rsid w:val="000D67AC"/>
    <w:rsid w:val="000E0F23"/>
    <w:rsid w:val="000F6806"/>
    <w:rsid w:val="00105504"/>
    <w:rsid w:val="00105AB1"/>
    <w:rsid w:val="00106D07"/>
    <w:rsid w:val="00110AB3"/>
    <w:rsid w:val="00110C16"/>
    <w:rsid w:val="00117C8C"/>
    <w:rsid w:val="00123987"/>
    <w:rsid w:val="00125512"/>
    <w:rsid w:val="0013281D"/>
    <w:rsid w:val="001338C3"/>
    <w:rsid w:val="00133F38"/>
    <w:rsid w:val="00136755"/>
    <w:rsid w:val="0014097E"/>
    <w:rsid w:val="001417B0"/>
    <w:rsid w:val="001468D8"/>
    <w:rsid w:val="001512CB"/>
    <w:rsid w:val="001677C9"/>
    <w:rsid w:val="00167EA5"/>
    <w:rsid w:val="00175FB1"/>
    <w:rsid w:val="00191DED"/>
    <w:rsid w:val="001A2A2B"/>
    <w:rsid w:val="001A4DC8"/>
    <w:rsid w:val="001A4F0D"/>
    <w:rsid w:val="001C5CBC"/>
    <w:rsid w:val="001D6AEF"/>
    <w:rsid w:val="001E2173"/>
    <w:rsid w:val="001E21CD"/>
    <w:rsid w:val="001E3197"/>
    <w:rsid w:val="001F3024"/>
    <w:rsid w:val="00201B21"/>
    <w:rsid w:val="00202FEC"/>
    <w:rsid w:val="002041A7"/>
    <w:rsid w:val="002132B9"/>
    <w:rsid w:val="00221AA7"/>
    <w:rsid w:val="00233111"/>
    <w:rsid w:val="002441FC"/>
    <w:rsid w:val="00247AC9"/>
    <w:rsid w:val="00254E31"/>
    <w:rsid w:val="002559AB"/>
    <w:rsid w:val="002561BD"/>
    <w:rsid w:val="0028435F"/>
    <w:rsid w:val="00292143"/>
    <w:rsid w:val="00296596"/>
    <w:rsid w:val="0029726C"/>
    <w:rsid w:val="002A5A47"/>
    <w:rsid w:val="002D2BA3"/>
    <w:rsid w:val="002E3A97"/>
    <w:rsid w:val="002E6B80"/>
    <w:rsid w:val="002F1AF7"/>
    <w:rsid w:val="002F2C6D"/>
    <w:rsid w:val="002F7A17"/>
    <w:rsid w:val="00300DF7"/>
    <w:rsid w:val="00302760"/>
    <w:rsid w:val="003067C7"/>
    <w:rsid w:val="00306F82"/>
    <w:rsid w:val="0032068B"/>
    <w:rsid w:val="003248F2"/>
    <w:rsid w:val="00347170"/>
    <w:rsid w:val="003525E8"/>
    <w:rsid w:val="00353163"/>
    <w:rsid w:val="0035372A"/>
    <w:rsid w:val="003558E3"/>
    <w:rsid w:val="00361DC6"/>
    <w:rsid w:val="003700CA"/>
    <w:rsid w:val="00376971"/>
    <w:rsid w:val="003A09B0"/>
    <w:rsid w:val="003A2516"/>
    <w:rsid w:val="003A4CC2"/>
    <w:rsid w:val="003A5FD3"/>
    <w:rsid w:val="003C4A83"/>
    <w:rsid w:val="003D1742"/>
    <w:rsid w:val="003D6E26"/>
    <w:rsid w:val="003E158A"/>
    <w:rsid w:val="003E2E3E"/>
    <w:rsid w:val="003E7676"/>
    <w:rsid w:val="003E76CF"/>
    <w:rsid w:val="003F1F25"/>
    <w:rsid w:val="00402287"/>
    <w:rsid w:val="00402735"/>
    <w:rsid w:val="004055E9"/>
    <w:rsid w:val="00411FAA"/>
    <w:rsid w:val="004134BD"/>
    <w:rsid w:val="00415858"/>
    <w:rsid w:val="0042248E"/>
    <w:rsid w:val="0042596D"/>
    <w:rsid w:val="00435B05"/>
    <w:rsid w:val="00444CFA"/>
    <w:rsid w:val="00447FC2"/>
    <w:rsid w:val="00461472"/>
    <w:rsid w:val="00463E2F"/>
    <w:rsid w:val="004745E2"/>
    <w:rsid w:val="00474ADF"/>
    <w:rsid w:val="00475A66"/>
    <w:rsid w:val="0047784D"/>
    <w:rsid w:val="004833CD"/>
    <w:rsid w:val="00487058"/>
    <w:rsid w:val="004A0DC3"/>
    <w:rsid w:val="004A1C55"/>
    <w:rsid w:val="004A3B7E"/>
    <w:rsid w:val="004A4EDF"/>
    <w:rsid w:val="004B0CAE"/>
    <w:rsid w:val="004C337B"/>
    <w:rsid w:val="004C4150"/>
    <w:rsid w:val="004C51C3"/>
    <w:rsid w:val="004D20F2"/>
    <w:rsid w:val="004E4868"/>
    <w:rsid w:val="004E7783"/>
    <w:rsid w:val="004F0534"/>
    <w:rsid w:val="004F2266"/>
    <w:rsid w:val="005053EA"/>
    <w:rsid w:val="00514DD2"/>
    <w:rsid w:val="00515226"/>
    <w:rsid w:val="00516AFC"/>
    <w:rsid w:val="00517455"/>
    <w:rsid w:val="0052055B"/>
    <w:rsid w:val="0052529F"/>
    <w:rsid w:val="005260FE"/>
    <w:rsid w:val="00540177"/>
    <w:rsid w:val="005403F2"/>
    <w:rsid w:val="00540CEC"/>
    <w:rsid w:val="00542715"/>
    <w:rsid w:val="00545522"/>
    <w:rsid w:val="005500E6"/>
    <w:rsid w:val="005556D5"/>
    <w:rsid w:val="00555AC1"/>
    <w:rsid w:val="0056618A"/>
    <w:rsid w:val="00566BDC"/>
    <w:rsid w:val="005A1848"/>
    <w:rsid w:val="005A317C"/>
    <w:rsid w:val="005A3705"/>
    <w:rsid w:val="005A3B8A"/>
    <w:rsid w:val="005B25B0"/>
    <w:rsid w:val="005C5D14"/>
    <w:rsid w:val="005C7416"/>
    <w:rsid w:val="005D3082"/>
    <w:rsid w:val="005E201B"/>
    <w:rsid w:val="005F7F38"/>
    <w:rsid w:val="00610786"/>
    <w:rsid w:val="00611389"/>
    <w:rsid w:val="00622081"/>
    <w:rsid w:val="00623573"/>
    <w:rsid w:val="006303A2"/>
    <w:rsid w:val="00634E3B"/>
    <w:rsid w:val="006353D6"/>
    <w:rsid w:val="00641A4D"/>
    <w:rsid w:val="00644CB1"/>
    <w:rsid w:val="0066518C"/>
    <w:rsid w:val="006661D7"/>
    <w:rsid w:val="00667DA2"/>
    <w:rsid w:val="006B06BF"/>
    <w:rsid w:val="006B41B0"/>
    <w:rsid w:val="006B458C"/>
    <w:rsid w:val="006B5494"/>
    <w:rsid w:val="006B6E93"/>
    <w:rsid w:val="006C4B79"/>
    <w:rsid w:val="006D42B8"/>
    <w:rsid w:val="006E1373"/>
    <w:rsid w:val="006E56AA"/>
    <w:rsid w:val="0070038D"/>
    <w:rsid w:val="00705BD2"/>
    <w:rsid w:val="0073042C"/>
    <w:rsid w:val="00731F42"/>
    <w:rsid w:val="00733EB3"/>
    <w:rsid w:val="007350BB"/>
    <w:rsid w:val="00742F6F"/>
    <w:rsid w:val="007519A3"/>
    <w:rsid w:val="00752E61"/>
    <w:rsid w:val="007600C5"/>
    <w:rsid w:val="00760377"/>
    <w:rsid w:val="007626F5"/>
    <w:rsid w:val="00763943"/>
    <w:rsid w:val="00775D9D"/>
    <w:rsid w:val="00780809"/>
    <w:rsid w:val="007831E0"/>
    <w:rsid w:val="007843F3"/>
    <w:rsid w:val="007852AE"/>
    <w:rsid w:val="00795CE4"/>
    <w:rsid w:val="007B2BAB"/>
    <w:rsid w:val="007B5BA0"/>
    <w:rsid w:val="007B63C4"/>
    <w:rsid w:val="007B7671"/>
    <w:rsid w:val="007C77E3"/>
    <w:rsid w:val="007D02A6"/>
    <w:rsid w:val="007D1F8B"/>
    <w:rsid w:val="007E2311"/>
    <w:rsid w:val="007F679A"/>
    <w:rsid w:val="007F6E43"/>
    <w:rsid w:val="007F7BCB"/>
    <w:rsid w:val="008000C5"/>
    <w:rsid w:val="00813CDD"/>
    <w:rsid w:val="00824601"/>
    <w:rsid w:val="00832573"/>
    <w:rsid w:val="00835C74"/>
    <w:rsid w:val="0085372F"/>
    <w:rsid w:val="008559AE"/>
    <w:rsid w:val="00863207"/>
    <w:rsid w:val="00866132"/>
    <w:rsid w:val="00866E6E"/>
    <w:rsid w:val="00871C0B"/>
    <w:rsid w:val="00883BFD"/>
    <w:rsid w:val="008877C8"/>
    <w:rsid w:val="008A2FA9"/>
    <w:rsid w:val="008B2852"/>
    <w:rsid w:val="008B702D"/>
    <w:rsid w:val="008C035D"/>
    <w:rsid w:val="008C3982"/>
    <w:rsid w:val="008E2F86"/>
    <w:rsid w:val="009006C9"/>
    <w:rsid w:val="00903119"/>
    <w:rsid w:val="00904F85"/>
    <w:rsid w:val="00911EB2"/>
    <w:rsid w:val="00916D37"/>
    <w:rsid w:val="00920864"/>
    <w:rsid w:val="009347BB"/>
    <w:rsid w:val="00934F9F"/>
    <w:rsid w:val="009502BC"/>
    <w:rsid w:val="009536D1"/>
    <w:rsid w:val="00956BFF"/>
    <w:rsid w:val="00965D30"/>
    <w:rsid w:val="00967B85"/>
    <w:rsid w:val="00972F37"/>
    <w:rsid w:val="00974306"/>
    <w:rsid w:val="009769D7"/>
    <w:rsid w:val="00980897"/>
    <w:rsid w:val="0098634C"/>
    <w:rsid w:val="00995D1B"/>
    <w:rsid w:val="009A0290"/>
    <w:rsid w:val="009B140C"/>
    <w:rsid w:val="009C765C"/>
    <w:rsid w:val="009C7A31"/>
    <w:rsid w:val="009D663E"/>
    <w:rsid w:val="009F1DF1"/>
    <w:rsid w:val="00A02AC1"/>
    <w:rsid w:val="00A02ADB"/>
    <w:rsid w:val="00A175E7"/>
    <w:rsid w:val="00A21C43"/>
    <w:rsid w:val="00A23725"/>
    <w:rsid w:val="00A23CA2"/>
    <w:rsid w:val="00A30007"/>
    <w:rsid w:val="00A315DB"/>
    <w:rsid w:val="00A344A3"/>
    <w:rsid w:val="00A35800"/>
    <w:rsid w:val="00A533D3"/>
    <w:rsid w:val="00A54B39"/>
    <w:rsid w:val="00A56D27"/>
    <w:rsid w:val="00A5782C"/>
    <w:rsid w:val="00A62EB2"/>
    <w:rsid w:val="00A64654"/>
    <w:rsid w:val="00A64FAD"/>
    <w:rsid w:val="00A656B0"/>
    <w:rsid w:val="00A71505"/>
    <w:rsid w:val="00A7390F"/>
    <w:rsid w:val="00A87712"/>
    <w:rsid w:val="00A95030"/>
    <w:rsid w:val="00AA4EB1"/>
    <w:rsid w:val="00AB721D"/>
    <w:rsid w:val="00AB7B54"/>
    <w:rsid w:val="00AC0390"/>
    <w:rsid w:val="00AC1F99"/>
    <w:rsid w:val="00AC5A7F"/>
    <w:rsid w:val="00AC785F"/>
    <w:rsid w:val="00AD1534"/>
    <w:rsid w:val="00AD1762"/>
    <w:rsid w:val="00AD4528"/>
    <w:rsid w:val="00AE0898"/>
    <w:rsid w:val="00AE0CDD"/>
    <w:rsid w:val="00AF4B2E"/>
    <w:rsid w:val="00B13928"/>
    <w:rsid w:val="00B21C07"/>
    <w:rsid w:val="00B3478D"/>
    <w:rsid w:val="00B41975"/>
    <w:rsid w:val="00B41A90"/>
    <w:rsid w:val="00B45CDD"/>
    <w:rsid w:val="00B515D5"/>
    <w:rsid w:val="00B529EC"/>
    <w:rsid w:val="00B54B38"/>
    <w:rsid w:val="00B5568B"/>
    <w:rsid w:val="00B60743"/>
    <w:rsid w:val="00B64E49"/>
    <w:rsid w:val="00B72AA7"/>
    <w:rsid w:val="00B74647"/>
    <w:rsid w:val="00B80F01"/>
    <w:rsid w:val="00B94011"/>
    <w:rsid w:val="00B9716C"/>
    <w:rsid w:val="00BB737D"/>
    <w:rsid w:val="00BC399C"/>
    <w:rsid w:val="00BC505C"/>
    <w:rsid w:val="00BE0FA8"/>
    <w:rsid w:val="00BF08E1"/>
    <w:rsid w:val="00BF20DC"/>
    <w:rsid w:val="00BF6353"/>
    <w:rsid w:val="00BF6904"/>
    <w:rsid w:val="00BF69F5"/>
    <w:rsid w:val="00C171B9"/>
    <w:rsid w:val="00C259BA"/>
    <w:rsid w:val="00C35425"/>
    <w:rsid w:val="00C4072D"/>
    <w:rsid w:val="00C40CCE"/>
    <w:rsid w:val="00C51552"/>
    <w:rsid w:val="00C54FEB"/>
    <w:rsid w:val="00C60A35"/>
    <w:rsid w:val="00C6217C"/>
    <w:rsid w:val="00C64A96"/>
    <w:rsid w:val="00C65E1B"/>
    <w:rsid w:val="00C66E28"/>
    <w:rsid w:val="00C76AD8"/>
    <w:rsid w:val="00C86180"/>
    <w:rsid w:val="00C87D56"/>
    <w:rsid w:val="00C91134"/>
    <w:rsid w:val="00C91E9E"/>
    <w:rsid w:val="00C96B49"/>
    <w:rsid w:val="00CA0A82"/>
    <w:rsid w:val="00CA7CC5"/>
    <w:rsid w:val="00CB5EE2"/>
    <w:rsid w:val="00CB79E8"/>
    <w:rsid w:val="00CC241A"/>
    <w:rsid w:val="00CD2CB7"/>
    <w:rsid w:val="00CE7E41"/>
    <w:rsid w:val="00CF00C9"/>
    <w:rsid w:val="00CF3FD1"/>
    <w:rsid w:val="00CF4BB9"/>
    <w:rsid w:val="00D30F9F"/>
    <w:rsid w:val="00D35A2E"/>
    <w:rsid w:val="00D5682D"/>
    <w:rsid w:val="00D610F7"/>
    <w:rsid w:val="00D618D8"/>
    <w:rsid w:val="00D66FD3"/>
    <w:rsid w:val="00D73A8F"/>
    <w:rsid w:val="00D74DAF"/>
    <w:rsid w:val="00D93CF8"/>
    <w:rsid w:val="00DA346C"/>
    <w:rsid w:val="00DA3D14"/>
    <w:rsid w:val="00DA5062"/>
    <w:rsid w:val="00DA518A"/>
    <w:rsid w:val="00DA6650"/>
    <w:rsid w:val="00DB1BB1"/>
    <w:rsid w:val="00DB4F95"/>
    <w:rsid w:val="00DC54E9"/>
    <w:rsid w:val="00DC6D4E"/>
    <w:rsid w:val="00DC73A4"/>
    <w:rsid w:val="00DD096B"/>
    <w:rsid w:val="00DD53CF"/>
    <w:rsid w:val="00DD61D9"/>
    <w:rsid w:val="00DE1018"/>
    <w:rsid w:val="00DE6513"/>
    <w:rsid w:val="00DF59BF"/>
    <w:rsid w:val="00DF5A2C"/>
    <w:rsid w:val="00E0031B"/>
    <w:rsid w:val="00E00D05"/>
    <w:rsid w:val="00E04A1F"/>
    <w:rsid w:val="00E14EE5"/>
    <w:rsid w:val="00E15FCF"/>
    <w:rsid w:val="00E220D9"/>
    <w:rsid w:val="00E3124A"/>
    <w:rsid w:val="00E35C84"/>
    <w:rsid w:val="00E35DDA"/>
    <w:rsid w:val="00E454EC"/>
    <w:rsid w:val="00E51B04"/>
    <w:rsid w:val="00E562ED"/>
    <w:rsid w:val="00E662F0"/>
    <w:rsid w:val="00E664CE"/>
    <w:rsid w:val="00E70703"/>
    <w:rsid w:val="00E70B0C"/>
    <w:rsid w:val="00E71864"/>
    <w:rsid w:val="00E74055"/>
    <w:rsid w:val="00E92DF2"/>
    <w:rsid w:val="00EA05FF"/>
    <w:rsid w:val="00EB58DF"/>
    <w:rsid w:val="00EB78E1"/>
    <w:rsid w:val="00EC6DE6"/>
    <w:rsid w:val="00EE1F1C"/>
    <w:rsid w:val="00EF3DB8"/>
    <w:rsid w:val="00F00252"/>
    <w:rsid w:val="00F01D1E"/>
    <w:rsid w:val="00F02D43"/>
    <w:rsid w:val="00F0759E"/>
    <w:rsid w:val="00F11F75"/>
    <w:rsid w:val="00F24323"/>
    <w:rsid w:val="00F245DC"/>
    <w:rsid w:val="00F54EE2"/>
    <w:rsid w:val="00F55D76"/>
    <w:rsid w:val="00F7111B"/>
    <w:rsid w:val="00F7327F"/>
    <w:rsid w:val="00F74942"/>
    <w:rsid w:val="00F76E01"/>
    <w:rsid w:val="00F83C3D"/>
    <w:rsid w:val="00F85235"/>
    <w:rsid w:val="00F90812"/>
    <w:rsid w:val="00FA13BA"/>
    <w:rsid w:val="00FA6483"/>
    <w:rsid w:val="00FB7081"/>
    <w:rsid w:val="00FB7485"/>
    <w:rsid w:val="00FB7C44"/>
    <w:rsid w:val="00FC4988"/>
    <w:rsid w:val="00FC6C1E"/>
    <w:rsid w:val="00FD1F78"/>
    <w:rsid w:val="00FD2832"/>
    <w:rsid w:val="00FD6087"/>
    <w:rsid w:val="00FE07BE"/>
    <w:rsid w:val="00FE0857"/>
    <w:rsid w:val="00FF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 w:type="paragraph" w:styleId="Poprawka">
    <w:name w:val="Revision"/>
    <w:hidden/>
    <w:uiPriority w:val="99"/>
    <w:semiHidden/>
    <w:rsid w:val="0004381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862742293">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53C6-1C3F-4858-8686-E560958C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16</Pages>
  <Words>2968</Words>
  <Characters>17809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Kozłowska</dc:creator>
  <cp:keywords/>
  <dc:description/>
  <cp:lastModifiedBy>Bożena Wieczorek</cp:lastModifiedBy>
  <cp:revision>44</cp:revision>
  <cp:lastPrinted>2023-07-11T07:54:00Z</cp:lastPrinted>
  <dcterms:created xsi:type="dcterms:W3CDTF">2023-09-27T19:22:00Z</dcterms:created>
  <dcterms:modified xsi:type="dcterms:W3CDTF">2023-12-19T08:51:00Z</dcterms:modified>
</cp:coreProperties>
</file>