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9D9B6" w14:textId="77777777" w:rsidR="008C2669" w:rsidRPr="00C43CB8" w:rsidRDefault="003511A6" w:rsidP="00C007AF">
      <w:pPr>
        <w:spacing w:before="100" w:beforeAutospacing="1" w:line="276" w:lineRule="auto"/>
        <w:rPr>
          <w:rFonts w:ascii="Arial" w:hAnsi="Arial" w:cs="Arial"/>
          <w:sz w:val="24"/>
          <w:szCs w:val="24"/>
        </w:rPr>
      </w:pPr>
      <w:bookmarkStart w:id="0" w:name="_GoBack"/>
      <w:bookmarkEnd w:id="0"/>
      <w:r w:rsidRPr="00C43CB8">
        <w:rPr>
          <w:rFonts w:ascii="Arial" w:hAnsi="Arial" w:cs="Arial"/>
          <w:sz w:val="24"/>
          <w:szCs w:val="24"/>
        </w:rPr>
        <w:t xml:space="preserve">Załącznik nr </w:t>
      </w:r>
      <w:r w:rsidR="00B533DC" w:rsidRPr="00C43CB8">
        <w:rPr>
          <w:rFonts w:ascii="Arial" w:hAnsi="Arial" w:cs="Arial"/>
          <w:sz w:val="24"/>
          <w:szCs w:val="24"/>
        </w:rPr>
        <w:t>4</w:t>
      </w:r>
      <w:r w:rsidRPr="00C43CB8">
        <w:rPr>
          <w:rFonts w:ascii="Arial" w:hAnsi="Arial" w:cs="Arial"/>
          <w:sz w:val="24"/>
          <w:szCs w:val="24"/>
        </w:rPr>
        <w:t xml:space="preserve"> do Regulaminu wyboru projektów </w:t>
      </w:r>
      <w:r w:rsidR="00C43CB8" w:rsidRPr="00C43CB8">
        <w:rPr>
          <w:rFonts w:ascii="Arial" w:hAnsi="Arial" w:cs="Arial"/>
          <w:sz w:val="24"/>
          <w:szCs w:val="24"/>
        </w:rPr>
        <w:t xml:space="preserve">- </w:t>
      </w:r>
      <w:r w:rsidR="00F74FD8" w:rsidRPr="00C43CB8">
        <w:rPr>
          <w:sz w:val="24"/>
          <w:szCs w:val="24"/>
        </w:rPr>
        <w:t>Lista definicji wskaźników dla</w:t>
      </w:r>
      <w:r w:rsidR="00F74FD8" w:rsidRPr="00C43CB8">
        <w:rPr>
          <w:spacing w:val="-1"/>
          <w:sz w:val="24"/>
          <w:szCs w:val="24"/>
        </w:rPr>
        <w:t xml:space="preserve"> </w:t>
      </w:r>
      <w:r w:rsidR="00F74FD8" w:rsidRPr="00C43CB8">
        <w:rPr>
          <w:sz w:val="24"/>
          <w:szCs w:val="24"/>
        </w:rPr>
        <w:t>Priorytetu</w:t>
      </w:r>
      <w:r w:rsidR="00F74FD8" w:rsidRPr="00C43CB8">
        <w:rPr>
          <w:spacing w:val="-1"/>
          <w:sz w:val="24"/>
          <w:szCs w:val="24"/>
        </w:rPr>
        <w:t xml:space="preserve"> </w:t>
      </w:r>
      <w:r w:rsidR="00F74FD8" w:rsidRPr="00C43CB8">
        <w:rPr>
          <w:sz w:val="24"/>
          <w:szCs w:val="24"/>
        </w:rPr>
        <w:t>8 Fundusze</w:t>
      </w:r>
      <w:r w:rsidR="00F74FD8" w:rsidRPr="00C43CB8">
        <w:rPr>
          <w:spacing w:val="-1"/>
          <w:sz w:val="24"/>
          <w:szCs w:val="24"/>
        </w:rPr>
        <w:t xml:space="preserve"> </w:t>
      </w:r>
      <w:r w:rsidR="00F74FD8" w:rsidRPr="00C43CB8">
        <w:rPr>
          <w:sz w:val="24"/>
          <w:szCs w:val="24"/>
        </w:rPr>
        <w:t>europejskie</w:t>
      </w:r>
      <w:r w:rsidR="00F74FD8" w:rsidRPr="00C43CB8">
        <w:rPr>
          <w:spacing w:val="1"/>
          <w:sz w:val="24"/>
          <w:szCs w:val="24"/>
        </w:rPr>
        <w:t xml:space="preserve"> </w:t>
      </w:r>
      <w:r w:rsidR="00F74FD8" w:rsidRPr="00C43CB8">
        <w:rPr>
          <w:sz w:val="24"/>
          <w:szCs w:val="24"/>
        </w:rPr>
        <w:t>dla edukacji</w:t>
      </w:r>
      <w:r w:rsidR="00F74FD8" w:rsidRPr="00C43CB8">
        <w:rPr>
          <w:spacing w:val="-1"/>
          <w:sz w:val="24"/>
          <w:szCs w:val="24"/>
        </w:rPr>
        <w:t xml:space="preserve"> </w:t>
      </w:r>
      <w:r w:rsidR="00F74FD8" w:rsidRPr="00C43CB8">
        <w:rPr>
          <w:sz w:val="24"/>
          <w:szCs w:val="24"/>
        </w:rPr>
        <w:t>i</w:t>
      </w:r>
      <w:r w:rsidR="00F74FD8" w:rsidRPr="00C43CB8">
        <w:rPr>
          <w:spacing w:val="-2"/>
          <w:sz w:val="24"/>
          <w:szCs w:val="24"/>
        </w:rPr>
        <w:t xml:space="preserve"> </w:t>
      </w:r>
      <w:r w:rsidR="00F74FD8" w:rsidRPr="00C43CB8">
        <w:rPr>
          <w:sz w:val="24"/>
          <w:szCs w:val="24"/>
        </w:rPr>
        <w:t>kadr</w:t>
      </w:r>
      <w:r w:rsidR="00F74FD8" w:rsidRPr="00C43CB8">
        <w:rPr>
          <w:spacing w:val="-2"/>
          <w:sz w:val="24"/>
          <w:szCs w:val="24"/>
        </w:rPr>
        <w:t xml:space="preserve"> </w:t>
      </w:r>
      <w:r w:rsidR="00F74FD8" w:rsidRPr="00C43CB8">
        <w:rPr>
          <w:sz w:val="24"/>
          <w:szCs w:val="24"/>
        </w:rPr>
        <w:t>w</w:t>
      </w:r>
      <w:r w:rsidR="00F74FD8" w:rsidRPr="00C43CB8">
        <w:rPr>
          <w:spacing w:val="1"/>
          <w:sz w:val="24"/>
          <w:szCs w:val="24"/>
        </w:rPr>
        <w:t xml:space="preserve"> </w:t>
      </w:r>
      <w:r w:rsidR="00F74FD8" w:rsidRPr="00C43CB8">
        <w:rPr>
          <w:sz w:val="24"/>
          <w:szCs w:val="24"/>
        </w:rPr>
        <w:t>Łódzkiem</w:t>
      </w:r>
      <w:r w:rsidRPr="00C43CB8">
        <w:rPr>
          <w:sz w:val="24"/>
          <w:szCs w:val="24"/>
        </w:rPr>
        <w:t>,</w:t>
      </w:r>
      <w:r w:rsidR="00363D3E">
        <w:rPr>
          <w:sz w:val="24"/>
          <w:szCs w:val="24"/>
        </w:rPr>
        <w:t xml:space="preserve"> Działanie FELD.08.0</w:t>
      </w:r>
      <w:r w:rsidR="00F4564F">
        <w:rPr>
          <w:sz w:val="24"/>
          <w:szCs w:val="24"/>
        </w:rPr>
        <w:t>1</w:t>
      </w:r>
      <w:r w:rsidRPr="00C43CB8">
        <w:rPr>
          <w:sz w:val="24"/>
          <w:szCs w:val="24"/>
        </w:rPr>
        <w:t xml:space="preserve"> </w:t>
      </w:r>
      <w:r w:rsidR="00F4564F">
        <w:rPr>
          <w:sz w:val="24"/>
          <w:szCs w:val="24"/>
        </w:rPr>
        <w:t>Wzmocnienie równości płci</w:t>
      </w:r>
    </w:p>
    <w:p w14:paraId="21A1C84D" w14:textId="77777777" w:rsidR="008C2669" w:rsidRPr="00CC235D" w:rsidRDefault="008C2669">
      <w:pPr>
        <w:pStyle w:val="Tekstpodstawowy"/>
      </w:pPr>
    </w:p>
    <w:p w14:paraId="568DF9C1" w14:textId="77777777" w:rsidR="008C2669" w:rsidRPr="00CC235D" w:rsidRDefault="00F77EEB">
      <w:pPr>
        <w:pStyle w:val="Tekstpodstawowy"/>
        <w:spacing w:before="2"/>
        <w:rPr>
          <w:b w:val="0"/>
        </w:rPr>
      </w:pPr>
      <w:r>
        <w:rPr>
          <w:b w:val="0"/>
        </w:rPr>
        <w:t xml:space="preserve">W ramach </w:t>
      </w:r>
      <w:r w:rsidR="00C66872" w:rsidRPr="00CC235D">
        <w:rPr>
          <w:b w:val="0"/>
        </w:rPr>
        <w:t>naboru obowiązują następujące wskaźniki produktu:</w:t>
      </w:r>
    </w:p>
    <w:p w14:paraId="1FB33B67" w14:textId="77777777" w:rsidR="00C66872" w:rsidRPr="00CC235D" w:rsidRDefault="00C66872">
      <w:pPr>
        <w:pStyle w:val="Tekstpodstawowy"/>
        <w:spacing w:before="2"/>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2268"/>
        <w:gridCol w:w="6804"/>
        <w:gridCol w:w="2552"/>
        <w:gridCol w:w="2693"/>
      </w:tblGrid>
      <w:tr w:rsidR="00C66872" w:rsidRPr="00CC235D" w14:paraId="577A8B00" w14:textId="77777777" w:rsidTr="00C31BDF">
        <w:trPr>
          <w:trHeight w:val="1438"/>
        </w:trPr>
        <w:tc>
          <w:tcPr>
            <w:tcW w:w="567" w:type="dxa"/>
            <w:shd w:val="clear" w:color="auto" w:fill="auto"/>
            <w:vAlign w:val="center"/>
          </w:tcPr>
          <w:p w14:paraId="39FAB38A"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Lp.</w:t>
            </w:r>
          </w:p>
        </w:tc>
        <w:tc>
          <w:tcPr>
            <w:tcW w:w="2268" w:type="dxa"/>
            <w:shd w:val="clear" w:color="auto" w:fill="auto"/>
            <w:vAlign w:val="center"/>
          </w:tcPr>
          <w:p w14:paraId="61C675CB"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Nazwa wskaźnika/</w:t>
            </w:r>
            <w:r w:rsidRPr="00CC235D">
              <w:rPr>
                <w:rFonts w:ascii="Arial" w:eastAsia="Times New Roman" w:hAnsi="Arial" w:cs="Arial"/>
                <w:b/>
                <w:bCs/>
                <w:sz w:val="24"/>
                <w:szCs w:val="24"/>
                <w:lang w:eastAsia="pl-PL"/>
              </w:rPr>
              <w:br/>
              <w:t>jednostka miary</w:t>
            </w:r>
          </w:p>
        </w:tc>
        <w:tc>
          <w:tcPr>
            <w:tcW w:w="6804" w:type="dxa"/>
            <w:shd w:val="clear" w:color="auto" w:fill="auto"/>
            <w:vAlign w:val="center"/>
          </w:tcPr>
          <w:p w14:paraId="15A1E396"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Definicja</w:t>
            </w:r>
          </w:p>
        </w:tc>
        <w:tc>
          <w:tcPr>
            <w:tcW w:w="2552" w:type="dxa"/>
            <w:shd w:val="clear" w:color="auto" w:fill="auto"/>
            <w:vAlign w:val="center"/>
          </w:tcPr>
          <w:p w14:paraId="7EA4A81D"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Termin pomiaru wskaźnika</w:t>
            </w:r>
          </w:p>
        </w:tc>
        <w:tc>
          <w:tcPr>
            <w:tcW w:w="2693" w:type="dxa"/>
            <w:shd w:val="clear" w:color="auto" w:fill="auto"/>
            <w:vAlign w:val="center"/>
          </w:tcPr>
          <w:p w14:paraId="0DD24A56" w14:textId="77777777" w:rsidR="00C66872" w:rsidRPr="00CC235D" w:rsidRDefault="00C66872" w:rsidP="00014D39">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Sposób i</w:t>
            </w:r>
            <w:r w:rsidR="003533E7">
              <w:rPr>
                <w:rFonts w:ascii="Arial" w:eastAsia="Times New Roman" w:hAnsi="Arial" w:cs="Arial"/>
                <w:b/>
                <w:bCs/>
                <w:sz w:val="24"/>
                <w:szCs w:val="24"/>
                <w:lang w:eastAsia="pl-PL"/>
              </w:rPr>
              <w:t xml:space="preserve"> przykładowe</w:t>
            </w:r>
            <w:r w:rsidRPr="00CC235D">
              <w:rPr>
                <w:rFonts w:ascii="Arial" w:eastAsia="Times New Roman" w:hAnsi="Arial" w:cs="Arial"/>
                <w:b/>
                <w:bCs/>
                <w:sz w:val="24"/>
                <w:szCs w:val="24"/>
                <w:lang w:eastAsia="pl-PL"/>
              </w:rPr>
              <w:t xml:space="preserve"> źródła pomiaru wskaźnika</w:t>
            </w:r>
          </w:p>
        </w:tc>
      </w:tr>
      <w:tr w:rsidR="00C66872" w:rsidRPr="00CC235D" w14:paraId="4975434F" w14:textId="77777777" w:rsidTr="00C31BDF">
        <w:trPr>
          <w:trHeight w:val="829"/>
        </w:trPr>
        <w:tc>
          <w:tcPr>
            <w:tcW w:w="567" w:type="dxa"/>
            <w:shd w:val="clear" w:color="auto" w:fill="auto"/>
            <w:vAlign w:val="center"/>
          </w:tcPr>
          <w:p w14:paraId="13335CF7" w14:textId="77777777" w:rsidR="00C66872" w:rsidRPr="00CC235D" w:rsidRDefault="00C66872"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w:t>
            </w:r>
          </w:p>
        </w:tc>
        <w:tc>
          <w:tcPr>
            <w:tcW w:w="2268" w:type="dxa"/>
            <w:shd w:val="clear" w:color="auto" w:fill="auto"/>
            <w:vAlign w:val="center"/>
          </w:tcPr>
          <w:p w14:paraId="34821AAA" w14:textId="77777777" w:rsidR="00C66872" w:rsidRPr="004E5499" w:rsidRDefault="004E5499" w:rsidP="008F6A0D">
            <w:pPr>
              <w:rPr>
                <w:rFonts w:ascii="Arial" w:hAnsi="Arial" w:cs="Arial"/>
                <w:sz w:val="24"/>
                <w:szCs w:val="24"/>
              </w:rPr>
            </w:pPr>
            <w:r w:rsidRPr="004E5499">
              <w:rPr>
                <w:rFonts w:ascii="Arial" w:eastAsia="Times New Roman" w:hAnsi="Arial" w:cs="Arial"/>
                <w:bCs/>
                <w:sz w:val="24"/>
                <w:szCs w:val="24"/>
                <w:lang w:eastAsia="pl-PL"/>
              </w:rPr>
              <w:t>PLCCO01</w:t>
            </w:r>
            <w:r w:rsidR="00AF0492" w:rsidRPr="004E5499">
              <w:rPr>
                <w:rFonts w:ascii="Arial" w:eastAsia="Times New Roman" w:hAnsi="Arial" w:cs="Arial"/>
                <w:bCs/>
                <w:sz w:val="24"/>
                <w:szCs w:val="24"/>
                <w:lang w:eastAsia="pl-PL"/>
              </w:rPr>
              <w:t xml:space="preserve"> </w:t>
            </w:r>
            <w:r w:rsidRPr="004E5499">
              <w:rPr>
                <w:rFonts w:ascii="Arial" w:hAnsi="Arial" w:cs="Arial"/>
                <w:sz w:val="24"/>
                <w:szCs w:val="24"/>
              </w:rPr>
              <w:t>Liczba osób objętych wsparciem w zakresie równości kobiet i mężczyzn (osoby)</w:t>
            </w:r>
          </w:p>
        </w:tc>
        <w:tc>
          <w:tcPr>
            <w:tcW w:w="6804" w:type="dxa"/>
            <w:shd w:val="clear" w:color="auto" w:fill="auto"/>
            <w:vAlign w:val="center"/>
          </w:tcPr>
          <w:p w14:paraId="7E45C8AA" w14:textId="77777777" w:rsidR="00AF0492" w:rsidRPr="00AF0492" w:rsidRDefault="00AF0492" w:rsidP="00AF0492">
            <w:pPr>
              <w:rPr>
                <w:rFonts w:ascii="Arial" w:hAnsi="Arial" w:cs="Arial"/>
                <w:sz w:val="24"/>
                <w:szCs w:val="24"/>
              </w:rPr>
            </w:pPr>
            <w:r w:rsidRPr="00AF0492">
              <w:rPr>
                <w:rFonts w:ascii="Arial" w:hAnsi="Arial" w:cs="Arial"/>
                <w:sz w:val="24"/>
                <w:szCs w:val="24"/>
              </w:rPr>
              <w:t>We wskaźniku należy wykazać wszystkie osoby, które zostały objęte wsparciem EFS+ w zakresie równości kobiet i mężczyzn.</w:t>
            </w:r>
          </w:p>
          <w:p w14:paraId="56302AF3" w14:textId="77777777" w:rsidR="00AF0492" w:rsidRPr="00AF0492" w:rsidRDefault="00AF0492" w:rsidP="00AF0492">
            <w:pPr>
              <w:rPr>
                <w:rFonts w:ascii="Arial" w:eastAsia="Arial" w:hAnsi="Arial" w:cs="Arial"/>
                <w:sz w:val="24"/>
                <w:szCs w:val="24"/>
              </w:rPr>
            </w:pPr>
            <w:r w:rsidRPr="00AF0492">
              <w:rPr>
                <w:rFonts w:ascii="Arial" w:hAnsi="Arial" w:cs="Arial"/>
                <w:sz w:val="24"/>
                <w:szCs w:val="24"/>
              </w:rPr>
              <w:t>Wsparcie to dotyczy w szczególności działań mających bezpośredni wpływ na równość płci, a także udziału w szkoleniach, webinariach, warsztatach dotyczących w szczególności kwestii:</w:t>
            </w:r>
          </w:p>
          <w:p w14:paraId="10EC9C99" w14:textId="77777777" w:rsidR="00AF0492" w:rsidRPr="00AF0492" w:rsidRDefault="00AF0492" w:rsidP="00AF0492">
            <w:pPr>
              <w:pStyle w:val="Akapitzlist"/>
              <w:widowControl/>
              <w:numPr>
                <w:ilvl w:val="0"/>
                <w:numId w:val="6"/>
              </w:numPr>
              <w:autoSpaceDE/>
              <w:autoSpaceDN/>
              <w:contextualSpacing/>
              <w:rPr>
                <w:rFonts w:eastAsiaTheme="minorEastAsia"/>
                <w:sz w:val="24"/>
                <w:szCs w:val="24"/>
              </w:rPr>
            </w:pPr>
            <w:proofErr w:type="gramStart"/>
            <w:r w:rsidRPr="00AF0492">
              <w:rPr>
                <w:rFonts w:ascii="Arial" w:hAnsi="Arial" w:cs="Arial"/>
                <w:sz w:val="24"/>
                <w:szCs w:val="24"/>
              </w:rPr>
              <w:t>równouprawnienia</w:t>
            </w:r>
            <w:proofErr w:type="gramEnd"/>
            <w:r w:rsidRPr="00AF0492">
              <w:rPr>
                <w:rFonts w:ascii="Arial" w:hAnsi="Arial" w:cs="Arial"/>
                <w:sz w:val="24"/>
                <w:szCs w:val="24"/>
              </w:rPr>
              <w:t xml:space="preserve"> kobiet i mężczyzn</w:t>
            </w:r>
            <w:r w:rsidRPr="00AF0492">
              <w:rPr>
                <w:rFonts w:ascii="Arial" w:eastAsia="Arial" w:hAnsi="Arial" w:cs="Arial"/>
                <w:sz w:val="24"/>
                <w:szCs w:val="24"/>
              </w:rPr>
              <w:t xml:space="preserve"> w kontekście obowiązujących przepisów prawa w Polsce;</w:t>
            </w:r>
          </w:p>
          <w:p w14:paraId="604057C5" w14:textId="77777777" w:rsidR="00AF0492" w:rsidRPr="00AF0492" w:rsidRDefault="00AF0492" w:rsidP="00AF0492">
            <w:pPr>
              <w:pStyle w:val="Akapitzlist"/>
              <w:widowControl/>
              <w:numPr>
                <w:ilvl w:val="0"/>
                <w:numId w:val="6"/>
              </w:numPr>
              <w:autoSpaceDE/>
              <w:autoSpaceDN/>
              <w:contextualSpacing/>
              <w:rPr>
                <w:sz w:val="24"/>
                <w:szCs w:val="24"/>
              </w:rPr>
            </w:pPr>
            <w:proofErr w:type="gramStart"/>
            <w:r w:rsidRPr="00AF0492">
              <w:rPr>
                <w:rFonts w:ascii="Arial" w:eastAsia="Arial" w:hAnsi="Arial" w:cs="Arial"/>
                <w:sz w:val="24"/>
                <w:szCs w:val="24"/>
              </w:rPr>
              <w:t>przesłanek</w:t>
            </w:r>
            <w:proofErr w:type="gramEnd"/>
            <w:r w:rsidRPr="00AF0492">
              <w:rPr>
                <w:rFonts w:ascii="Arial" w:eastAsia="Arial" w:hAnsi="Arial" w:cs="Arial"/>
                <w:sz w:val="24"/>
                <w:szCs w:val="24"/>
              </w:rPr>
              <w:t xml:space="preserve"> i podstawowych regulacji prawnych z zakresu polityki równości Unii Europejskiej; </w:t>
            </w:r>
          </w:p>
          <w:p w14:paraId="1F7417A1" w14:textId="77777777" w:rsidR="00AF0492" w:rsidRPr="00AF0492" w:rsidRDefault="00AF0492" w:rsidP="00AF0492">
            <w:pPr>
              <w:pStyle w:val="Akapitzlist"/>
              <w:widowControl/>
              <w:numPr>
                <w:ilvl w:val="0"/>
                <w:numId w:val="6"/>
              </w:numPr>
              <w:autoSpaceDE/>
              <w:autoSpaceDN/>
              <w:contextualSpacing/>
              <w:rPr>
                <w:sz w:val="24"/>
                <w:szCs w:val="24"/>
              </w:rPr>
            </w:pPr>
            <w:proofErr w:type="gramStart"/>
            <w:r w:rsidRPr="00AF0492">
              <w:rPr>
                <w:rFonts w:ascii="Arial" w:eastAsia="Arial" w:hAnsi="Arial" w:cs="Arial"/>
                <w:sz w:val="24"/>
                <w:szCs w:val="24"/>
              </w:rPr>
              <w:t>zwalczania</w:t>
            </w:r>
            <w:proofErr w:type="gramEnd"/>
            <w:r w:rsidRPr="00AF0492">
              <w:rPr>
                <w:rFonts w:ascii="Arial" w:eastAsia="Arial" w:hAnsi="Arial" w:cs="Arial"/>
                <w:sz w:val="24"/>
                <w:szCs w:val="24"/>
              </w:rPr>
              <w:t xml:space="preserve"> stereotypów płciowych i uprzedzeń; </w:t>
            </w:r>
          </w:p>
          <w:p w14:paraId="43BB4704" w14:textId="77777777" w:rsidR="00AF0492" w:rsidRPr="00AF0492" w:rsidRDefault="00AF0492" w:rsidP="00AF0492">
            <w:pPr>
              <w:pStyle w:val="Akapitzlist"/>
              <w:widowControl/>
              <w:numPr>
                <w:ilvl w:val="0"/>
                <w:numId w:val="6"/>
              </w:numPr>
              <w:autoSpaceDE/>
              <w:autoSpaceDN/>
              <w:contextualSpacing/>
              <w:rPr>
                <w:sz w:val="24"/>
                <w:szCs w:val="24"/>
              </w:rPr>
            </w:pPr>
            <w:proofErr w:type="gramStart"/>
            <w:r w:rsidRPr="00AF0492">
              <w:rPr>
                <w:rFonts w:ascii="Arial" w:eastAsia="Arial" w:hAnsi="Arial" w:cs="Arial"/>
                <w:sz w:val="24"/>
                <w:szCs w:val="24"/>
              </w:rPr>
              <w:t>przejawów</w:t>
            </w:r>
            <w:proofErr w:type="gramEnd"/>
            <w:r w:rsidRPr="00AF0492">
              <w:rPr>
                <w:rFonts w:ascii="Arial" w:eastAsia="Arial" w:hAnsi="Arial" w:cs="Arial"/>
                <w:sz w:val="24"/>
                <w:szCs w:val="24"/>
              </w:rPr>
              <w:t xml:space="preserve"> dyskryminacji ze względu na płeć; </w:t>
            </w:r>
          </w:p>
          <w:p w14:paraId="02A041E5" w14:textId="77777777" w:rsidR="00AF0492" w:rsidRPr="00AF0492" w:rsidRDefault="00AF0492" w:rsidP="00AF0492">
            <w:pPr>
              <w:pStyle w:val="Akapitzlist"/>
              <w:widowControl/>
              <w:numPr>
                <w:ilvl w:val="0"/>
                <w:numId w:val="6"/>
              </w:numPr>
              <w:autoSpaceDE/>
              <w:autoSpaceDN/>
              <w:contextualSpacing/>
              <w:rPr>
                <w:sz w:val="24"/>
                <w:szCs w:val="24"/>
              </w:rPr>
            </w:pPr>
            <w:proofErr w:type="gramStart"/>
            <w:r w:rsidRPr="00AF0492">
              <w:rPr>
                <w:rFonts w:ascii="Arial" w:eastAsia="Arial" w:hAnsi="Arial" w:cs="Arial"/>
                <w:sz w:val="24"/>
                <w:szCs w:val="24"/>
              </w:rPr>
              <w:t>podstawowych</w:t>
            </w:r>
            <w:proofErr w:type="gramEnd"/>
            <w:r w:rsidRPr="00AF0492">
              <w:rPr>
                <w:rFonts w:ascii="Arial" w:eastAsia="Arial" w:hAnsi="Arial" w:cs="Arial"/>
                <w:sz w:val="24"/>
                <w:szCs w:val="24"/>
              </w:rPr>
              <w:t xml:space="preserve"> pojęć związanych z kwestiami równości kobiet i mężczyzn;</w:t>
            </w:r>
          </w:p>
          <w:p w14:paraId="590C8EB6" w14:textId="77777777" w:rsidR="00AF0492" w:rsidRPr="00864FD4" w:rsidRDefault="00AF0492" w:rsidP="00AF0492">
            <w:pPr>
              <w:pStyle w:val="Akapitzlist"/>
              <w:widowControl/>
              <w:numPr>
                <w:ilvl w:val="0"/>
                <w:numId w:val="6"/>
              </w:numPr>
              <w:autoSpaceDE/>
              <w:autoSpaceDN/>
              <w:contextualSpacing/>
              <w:rPr>
                <w:sz w:val="24"/>
                <w:szCs w:val="24"/>
              </w:rPr>
            </w:pPr>
            <w:proofErr w:type="gramStart"/>
            <w:r w:rsidRPr="00AF0492">
              <w:rPr>
                <w:rFonts w:ascii="Arial" w:eastAsia="Arial" w:hAnsi="Arial" w:cs="Arial"/>
                <w:sz w:val="24"/>
                <w:szCs w:val="24"/>
              </w:rPr>
              <w:t>ekonomicznych</w:t>
            </w:r>
            <w:proofErr w:type="gramEnd"/>
            <w:r w:rsidRPr="00AF0492">
              <w:rPr>
                <w:rFonts w:ascii="Arial" w:eastAsia="Arial" w:hAnsi="Arial" w:cs="Arial"/>
                <w:sz w:val="24"/>
                <w:szCs w:val="24"/>
              </w:rPr>
              <w:t xml:space="preserve"> i społeczny</w:t>
            </w:r>
            <w:r w:rsidR="004E5499">
              <w:rPr>
                <w:rFonts w:ascii="Arial" w:eastAsia="Arial" w:hAnsi="Arial" w:cs="Arial"/>
                <w:sz w:val="24"/>
                <w:szCs w:val="24"/>
              </w:rPr>
              <w:t>ch konsekwencji braku równości.</w:t>
            </w:r>
          </w:p>
          <w:p w14:paraId="51CBAF84" w14:textId="77777777" w:rsidR="00572AC4" w:rsidRPr="00864FD4" w:rsidRDefault="00AF0492" w:rsidP="00864FD4">
            <w:pPr>
              <w:pStyle w:val="Akapitzlist"/>
              <w:widowControl/>
              <w:numPr>
                <w:ilvl w:val="0"/>
                <w:numId w:val="6"/>
              </w:numPr>
              <w:autoSpaceDE/>
              <w:autoSpaceDN/>
              <w:contextualSpacing/>
              <w:rPr>
                <w:sz w:val="24"/>
                <w:szCs w:val="24"/>
              </w:rPr>
            </w:pPr>
            <w:proofErr w:type="gramStart"/>
            <w:r w:rsidRPr="00864FD4">
              <w:rPr>
                <w:rFonts w:ascii="Arial" w:eastAsia="Arial" w:hAnsi="Arial" w:cs="Arial"/>
                <w:sz w:val="24"/>
                <w:szCs w:val="24"/>
              </w:rPr>
              <w:t>dobrych</w:t>
            </w:r>
            <w:proofErr w:type="gramEnd"/>
            <w:r w:rsidRPr="00864FD4">
              <w:rPr>
                <w:rFonts w:ascii="Arial" w:eastAsia="Arial" w:hAnsi="Arial" w:cs="Arial"/>
                <w:sz w:val="24"/>
                <w:szCs w:val="24"/>
              </w:rPr>
              <w:t xml:space="preserve"> praktyk w zakresie równości kobiet i mężczyzn np. w przedsiębiorstwach, organizacjach, czy w innych krajach.</w:t>
            </w:r>
          </w:p>
        </w:tc>
        <w:tc>
          <w:tcPr>
            <w:tcW w:w="2552" w:type="dxa"/>
            <w:shd w:val="clear" w:color="auto" w:fill="auto"/>
            <w:vAlign w:val="center"/>
          </w:tcPr>
          <w:p w14:paraId="0E192BCE" w14:textId="77777777" w:rsidR="00C66872" w:rsidRPr="00CC235D" w:rsidRDefault="00864FD4" w:rsidP="00864FD4">
            <w:pPr>
              <w:tabs>
                <w:tab w:val="left" w:pos="3878"/>
              </w:tabs>
              <w:spacing w:before="100"/>
              <w:rPr>
                <w:rFonts w:ascii="Arial" w:eastAsia="Times New Roman" w:hAnsi="Arial" w:cs="Arial"/>
                <w:bCs/>
                <w:sz w:val="24"/>
                <w:szCs w:val="24"/>
                <w:lang w:eastAsia="pl-PL"/>
              </w:rPr>
            </w:pPr>
            <w:r w:rsidRPr="00320776">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2693" w:type="dxa"/>
            <w:shd w:val="clear" w:color="auto" w:fill="auto"/>
            <w:vAlign w:val="center"/>
          </w:tcPr>
          <w:p w14:paraId="76B230EF" w14:textId="77777777" w:rsidR="00864FD4" w:rsidRPr="00320776" w:rsidRDefault="00864FD4" w:rsidP="00864FD4">
            <w:pPr>
              <w:tabs>
                <w:tab w:val="left" w:pos="3878"/>
              </w:tabs>
              <w:spacing w:before="100"/>
              <w:rPr>
                <w:rFonts w:ascii="Arial" w:eastAsia="Times New Roman" w:hAnsi="Arial" w:cs="Arial"/>
                <w:bCs/>
                <w:sz w:val="24"/>
                <w:szCs w:val="24"/>
                <w:lang w:eastAsia="pl-PL"/>
              </w:rPr>
            </w:pPr>
            <w:r w:rsidRPr="00320776">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14:paraId="2D0C3C62" w14:textId="4FE1439D" w:rsidR="00C66872" w:rsidRPr="00CC235D" w:rsidRDefault="00864FD4" w:rsidP="00864FD4">
            <w:pPr>
              <w:tabs>
                <w:tab w:val="left" w:pos="3878"/>
              </w:tabs>
              <w:spacing w:before="100"/>
              <w:rPr>
                <w:rFonts w:ascii="Arial" w:eastAsia="Times New Roman" w:hAnsi="Arial" w:cs="Arial"/>
                <w:bCs/>
                <w:sz w:val="24"/>
                <w:szCs w:val="24"/>
                <w:lang w:eastAsia="pl-PL"/>
              </w:rPr>
            </w:pPr>
            <w:r w:rsidRPr="00320776">
              <w:rPr>
                <w:rFonts w:ascii="Arial" w:eastAsia="Times New Roman" w:hAnsi="Arial" w:cs="Arial"/>
                <w:bCs/>
                <w:sz w:val="24"/>
                <w:szCs w:val="24"/>
                <w:lang w:eastAsia="pl-PL"/>
              </w:rPr>
              <w:t xml:space="preserve">Źródłem weryfikacji wskaźnika są kompletne i poprawnie wypełnione dokumenty rekrutacyjne uczestników oraz dokumenty potwierdzające przystąpienie do </w:t>
            </w:r>
            <w:proofErr w:type="gramStart"/>
            <w:r w:rsidRPr="00320776">
              <w:rPr>
                <w:rFonts w:ascii="Arial" w:eastAsia="Times New Roman" w:hAnsi="Arial" w:cs="Arial"/>
                <w:bCs/>
                <w:sz w:val="24"/>
                <w:szCs w:val="24"/>
                <w:lang w:eastAsia="pl-PL"/>
              </w:rPr>
              <w:lastRenderedPageBreak/>
              <w:t>pierwszej</w:t>
            </w:r>
            <w:proofErr w:type="gramEnd"/>
            <w:r w:rsidRPr="00320776">
              <w:rPr>
                <w:rFonts w:ascii="Arial" w:eastAsia="Times New Roman" w:hAnsi="Arial" w:cs="Arial"/>
                <w:bCs/>
                <w:sz w:val="24"/>
                <w:szCs w:val="24"/>
                <w:lang w:eastAsia="pl-PL"/>
              </w:rPr>
              <w:t xml:space="preserve"> formy wsparcia np.: deklaracje uczestnictwa, umowy uczestnictwa</w:t>
            </w:r>
            <w:r w:rsidR="00747F0F">
              <w:rPr>
                <w:rFonts w:ascii="Arial" w:eastAsia="Times New Roman" w:hAnsi="Arial" w:cs="Arial"/>
                <w:bCs/>
                <w:sz w:val="24"/>
                <w:szCs w:val="24"/>
                <w:lang w:eastAsia="pl-PL"/>
              </w:rPr>
              <w:t>, listy obecności na szkoleniach, warsztatach, doradztwie i innych formach wsparcia</w:t>
            </w:r>
            <w:r>
              <w:rPr>
                <w:rFonts w:ascii="Arial" w:eastAsia="Times New Roman" w:hAnsi="Arial" w:cs="Arial"/>
                <w:bCs/>
                <w:sz w:val="24"/>
                <w:szCs w:val="24"/>
                <w:lang w:eastAsia="pl-PL"/>
              </w:rPr>
              <w:t>.</w:t>
            </w:r>
          </w:p>
        </w:tc>
      </w:tr>
      <w:tr w:rsidR="00AF0492" w:rsidRPr="00CC235D" w14:paraId="729C9748" w14:textId="77777777" w:rsidTr="00C31BDF">
        <w:trPr>
          <w:trHeight w:val="829"/>
        </w:trPr>
        <w:tc>
          <w:tcPr>
            <w:tcW w:w="567" w:type="dxa"/>
            <w:shd w:val="clear" w:color="auto" w:fill="auto"/>
            <w:vAlign w:val="center"/>
          </w:tcPr>
          <w:p w14:paraId="32A40105" w14:textId="77777777" w:rsidR="00AF0492" w:rsidRPr="00CC235D" w:rsidRDefault="00AF0492" w:rsidP="002142F7">
            <w:pPr>
              <w:tabs>
                <w:tab w:val="left" w:pos="3878"/>
              </w:tabs>
              <w:spacing w:before="100"/>
              <w:rPr>
                <w:rFonts w:ascii="Arial" w:eastAsia="Times New Roman" w:hAnsi="Arial" w:cs="Arial"/>
                <w:bCs/>
                <w:sz w:val="24"/>
                <w:szCs w:val="24"/>
                <w:lang w:eastAsia="pl-PL"/>
              </w:rPr>
            </w:pPr>
            <w:r>
              <w:rPr>
                <w:rFonts w:ascii="Arial" w:eastAsia="Times New Roman" w:hAnsi="Arial" w:cs="Arial"/>
                <w:bCs/>
                <w:sz w:val="24"/>
                <w:szCs w:val="24"/>
                <w:lang w:eastAsia="pl-PL"/>
              </w:rPr>
              <w:lastRenderedPageBreak/>
              <w:t>2</w:t>
            </w:r>
          </w:p>
        </w:tc>
        <w:tc>
          <w:tcPr>
            <w:tcW w:w="2268" w:type="dxa"/>
            <w:shd w:val="clear" w:color="auto" w:fill="auto"/>
            <w:vAlign w:val="center"/>
          </w:tcPr>
          <w:p w14:paraId="58C7F60E" w14:textId="77777777" w:rsidR="00AF0492" w:rsidRPr="00AF0492" w:rsidRDefault="004E5499" w:rsidP="008F6A0D">
            <w:pPr>
              <w:tabs>
                <w:tab w:val="left" w:pos="3878"/>
              </w:tabs>
              <w:spacing w:before="100"/>
              <w:rPr>
                <w:rFonts w:ascii="Arial" w:eastAsia="Times New Roman" w:hAnsi="Arial" w:cs="Arial"/>
                <w:bCs/>
                <w:sz w:val="24"/>
                <w:szCs w:val="24"/>
                <w:lang w:eastAsia="pl-PL"/>
              </w:rPr>
            </w:pPr>
            <w:r>
              <w:rPr>
                <w:rFonts w:ascii="Arial" w:eastAsia="Times New Roman" w:hAnsi="Arial" w:cs="Arial"/>
                <w:bCs/>
                <w:sz w:val="24"/>
                <w:szCs w:val="24"/>
                <w:lang w:eastAsia="pl-PL"/>
              </w:rPr>
              <w:t>PLCCO02</w:t>
            </w:r>
            <w:r w:rsidR="00AF0492" w:rsidRPr="00AF0492">
              <w:rPr>
                <w:rFonts w:ascii="Arial" w:eastAsia="Times New Roman" w:hAnsi="Arial" w:cs="Arial"/>
                <w:bCs/>
                <w:sz w:val="24"/>
                <w:szCs w:val="24"/>
                <w:lang w:eastAsia="pl-PL"/>
              </w:rPr>
              <w:t xml:space="preserve"> </w:t>
            </w:r>
            <w:r w:rsidRPr="004E5499">
              <w:rPr>
                <w:rFonts w:ascii="Arial" w:hAnsi="Arial" w:cs="Arial"/>
                <w:sz w:val="24"/>
                <w:szCs w:val="24"/>
              </w:rPr>
              <w:t>Liczba osób objętych wsparciem w zakresie godzenia życia zawodowego z prywatnym (osoby)</w:t>
            </w:r>
          </w:p>
        </w:tc>
        <w:tc>
          <w:tcPr>
            <w:tcW w:w="6804" w:type="dxa"/>
            <w:shd w:val="clear" w:color="auto" w:fill="auto"/>
            <w:vAlign w:val="center"/>
          </w:tcPr>
          <w:p w14:paraId="0A375DBE" w14:textId="77777777" w:rsidR="004E5499" w:rsidRPr="004E5499" w:rsidRDefault="004E5499" w:rsidP="004E5499">
            <w:pPr>
              <w:rPr>
                <w:rFonts w:ascii="Arial" w:hAnsi="Arial" w:cs="Arial"/>
                <w:sz w:val="24"/>
                <w:szCs w:val="24"/>
              </w:rPr>
            </w:pPr>
            <w:r w:rsidRPr="004E5499">
              <w:rPr>
                <w:rFonts w:ascii="Arial" w:hAnsi="Arial" w:cs="Arial"/>
                <w:sz w:val="24"/>
                <w:szCs w:val="24"/>
              </w:rPr>
              <w:t xml:space="preserve">We wskaźniku należy wykazać wszystkie osoby, które zostały objęte wsparciem EFS+ w zakresie godzenia życia zawodowego z prywatnym. </w:t>
            </w:r>
          </w:p>
          <w:p w14:paraId="0913EFA9" w14:textId="77777777" w:rsidR="00AF0492" w:rsidRPr="00CC235D" w:rsidRDefault="004E5499" w:rsidP="004E5499">
            <w:pPr>
              <w:spacing w:line="259" w:lineRule="auto"/>
              <w:rPr>
                <w:rFonts w:ascii="Arial" w:eastAsia="Times New Roman" w:hAnsi="Arial" w:cs="Arial"/>
                <w:bCs/>
                <w:sz w:val="24"/>
                <w:szCs w:val="24"/>
                <w:lang w:eastAsia="pl-PL"/>
              </w:rPr>
            </w:pPr>
            <w:r w:rsidRPr="004E5499">
              <w:rPr>
                <w:rFonts w:ascii="Arial" w:hAnsi="Arial" w:cs="Arial"/>
                <w:sz w:val="24"/>
                <w:szCs w:val="24"/>
              </w:rPr>
              <w:t xml:space="preserve">Wsparcie w zakresie godzenia życia zawodowego z prywatnym należy rozumieć jako wszelkie formy pomocy uczestniczce/uczestnikowi projektu, które sprzyjają wypracowaniu równowagi pomiędzy pracą zawodową, a życiem prywatnym dzięki czemu umożliwiają poprawę warunków zatrudnienia lub mogą przyczyniać się do podjęcia pracy zawodowej lub umożliwiają poszukiwanie zatrudnienia lub zmianę pracy na lepszą. Mogą to być np. działania dotyczące elastycznych form zatrudnienia, pracy zdalnej, opieki </w:t>
            </w:r>
            <w:proofErr w:type="spellStart"/>
            <w:r w:rsidRPr="004E5499">
              <w:rPr>
                <w:rFonts w:ascii="Arial" w:hAnsi="Arial" w:cs="Arial"/>
                <w:sz w:val="24"/>
                <w:szCs w:val="24"/>
              </w:rPr>
              <w:t>wytchnieniowej</w:t>
            </w:r>
            <w:proofErr w:type="spellEnd"/>
            <w:r w:rsidRPr="004E5499">
              <w:rPr>
                <w:rFonts w:ascii="Arial" w:hAnsi="Arial" w:cs="Arial"/>
                <w:sz w:val="24"/>
                <w:szCs w:val="24"/>
              </w:rPr>
              <w:t xml:space="preserve"> dla opiekunów osób potrzebujących wsparcia w codziennym funkcjonowaniu wsparcie psychologiczne, szkolenia z zarządzania czasem.</w:t>
            </w:r>
          </w:p>
        </w:tc>
        <w:tc>
          <w:tcPr>
            <w:tcW w:w="2552" w:type="dxa"/>
            <w:shd w:val="clear" w:color="auto" w:fill="auto"/>
            <w:vAlign w:val="center"/>
          </w:tcPr>
          <w:p w14:paraId="5CDDCB42" w14:textId="77777777" w:rsidR="00AF0492" w:rsidRPr="00CC235D" w:rsidRDefault="004E5499" w:rsidP="00F77EEB">
            <w:pPr>
              <w:tabs>
                <w:tab w:val="left" w:pos="3878"/>
              </w:tabs>
              <w:spacing w:before="100"/>
              <w:rPr>
                <w:rFonts w:ascii="Arial" w:eastAsia="Times New Roman" w:hAnsi="Arial" w:cs="Arial"/>
                <w:bCs/>
                <w:sz w:val="24"/>
                <w:szCs w:val="24"/>
                <w:lang w:eastAsia="pl-PL"/>
              </w:rPr>
            </w:pPr>
            <w:r w:rsidRPr="00320776">
              <w:rPr>
                <w:rFonts w:ascii="Arial" w:eastAsia="Times New Roman" w:hAnsi="Arial" w:cs="Arial"/>
                <w:bCs/>
                <w:sz w:val="24"/>
                <w:szCs w:val="24"/>
                <w:lang w:eastAsia="pl-PL"/>
              </w:rPr>
              <w:t>Pomiar w momencie</w:t>
            </w:r>
            <w:r>
              <w:rPr>
                <w:rFonts w:ascii="Arial" w:eastAsia="Times New Roman" w:hAnsi="Arial" w:cs="Arial"/>
                <w:bCs/>
                <w:sz w:val="24"/>
                <w:szCs w:val="24"/>
                <w:lang w:eastAsia="pl-PL"/>
              </w:rPr>
              <w:t xml:space="preserve"> rozpoczęcia udziału w </w:t>
            </w:r>
            <w:r w:rsidR="00F77EEB">
              <w:rPr>
                <w:rFonts w:ascii="Arial" w:eastAsia="Times New Roman" w:hAnsi="Arial" w:cs="Arial"/>
                <w:bCs/>
                <w:sz w:val="24"/>
                <w:szCs w:val="24"/>
                <w:lang w:eastAsia="pl-PL"/>
              </w:rPr>
              <w:t xml:space="preserve">określonej </w:t>
            </w:r>
            <w:r>
              <w:rPr>
                <w:rFonts w:ascii="Arial" w:eastAsia="Times New Roman" w:hAnsi="Arial" w:cs="Arial"/>
                <w:bCs/>
                <w:sz w:val="24"/>
                <w:szCs w:val="24"/>
                <w:lang w:eastAsia="pl-PL"/>
              </w:rPr>
              <w:t>formie wsparcia</w:t>
            </w:r>
            <w:r w:rsidRPr="00320776">
              <w:rPr>
                <w:rFonts w:ascii="Arial" w:eastAsia="Times New Roman" w:hAnsi="Arial" w:cs="Arial"/>
                <w:bCs/>
                <w:sz w:val="24"/>
                <w:szCs w:val="24"/>
                <w:lang w:eastAsia="pl-PL"/>
              </w:rPr>
              <w:t>. Pomiar wskaźnika dokonywany jest sukcesywnie w trakcie realizacji projektu np. nie rzadziej niż raz na kwartał.</w:t>
            </w:r>
          </w:p>
        </w:tc>
        <w:tc>
          <w:tcPr>
            <w:tcW w:w="2693" w:type="dxa"/>
            <w:shd w:val="clear" w:color="auto" w:fill="auto"/>
            <w:vAlign w:val="center"/>
          </w:tcPr>
          <w:p w14:paraId="43CB8AE7" w14:textId="77777777" w:rsidR="00AF0492" w:rsidRDefault="00F77EEB" w:rsidP="00F77EEB">
            <w:pPr>
              <w:tabs>
                <w:tab w:val="left" w:pos="3878"/>
              </w:tabs>
              <w:spacing w:before="100"/>
              <w:rPr>
                <w:rFonts w:ascii="Arial" w:eastAsia="Times New Roman" w:hAnsi="Arial" w:cs="Arial"/>
                <w:bCs/>
                <w:sz w:val="24"/>
                <w:szCs w:val="24"/>
                <w:lang w:eastAsia="pl-PL"/>
              </w:rPr>
            </w:pPr>
            <w:r w:rsidRPr="00320776">
              <w:rPr>
                <w:rFonts w:ascii="Arial" w:eastAsia="Times New Roman" w:hAnsi="Arial" w:cs="Arial"/>
                <w:bCs/>
                <w:sz w:val="24"/>
                <w:szCs w:val="24"/>
                <w:lang w:eastAsia="pl-PL"/>
              </w:rPr>
              <w:t xml:space="preserve">Źródłem weryfikacji wskaźnika są kompletne i poprawnie wypełnione dokumenty rekrutacyjne uczestników oraz dokumenty potwierdzające przystąpienie do </w:t>
            </w:r>
            <w:r>
              <w:rPr>
                <w:rFonts w:ascii="Arial" w:eastAsia="Times New Roman" w:hAnsi="Arial" w:cs="Arial"/>
                <w:bCs/>
                <w:sz w:val="24"/>
                <w:szCs w:val="24"/>
                <w:lang w:eastAsia="pl-PL"/>
              </w:rPr>
              <w:t>określonej</w:t>
            </w:r>
            <w:r w:rsidRPr="00320776">
              <w:rPr>
                <w:rFonts w:ascii="Arial" w:eastAsia="Times New Roman" w:hAnsi="Arial" w:cs="Arial"/>
                <w:bCs/>
                <w:sz w:val="24"/>
                <w:szCs w:val="24"/>
                <w:lang w:eastAsia="pl-PL"/>
              </w:rPr>
              <w:t xml:space="preserve"> formy wsparcia np.: </w:t>
            </w:r>
            <w:r>
              <w:rPr>
                <w:rFonts w:ascii="Arial" w:eastAsia="Times New Roman" w:hAnsi="Arial" w:cs="Arial"/>
                <w:bCs/>
                <w:sz w:val="24"/>
                <w:szCs w:val="24"/>
                <w:lang w:eastAsia="pl-PL"/>
              </w:rPr>
              <w:t>umowy</w:t>
            </w:r>
            <w:r w:rsidRPr="00320776">
              <w:rPr>
                <w:rFonts w:ascii="Arial" w:eastAsia="Times New Roman" w:hAnsi="Arial" w:cs="Arial"/>
                <w:bCs/>
                <w:sz w:val="24"/>
                <w:szCs w:val="24"/>
                <w:lang w:eastAsia="pl-PL"/>
              </w:rPr>
              <w:t xml:space="preserve"> uczestnictwa, deklaracje uczestnictwa, </w:t>
            </w:r>
            <w:r>
              <w:rPr>
                <w:rFonts w:ascii="Arial" w:eastAsia="Times New Roman" w:hAnsi="Arial" w:cs="Arial"/>
                <w:bCs/>
                <w:sz w:val="24"/>
                <w:szCs w:val="24"/>
                <w:lang w:eastAsia="pl-PL"/>
              </w:rPr>
              <w:t>listy obecności</w:t>
            </w:r>
            <w:r w:rsidRPr="00320776">
              <w:rPr>
                <w:rFonts w:ascii="Arial" w:eastAsia="Times New Roman" w:hAnsi="Arial" w:cs="Arial"/>
                <w:bCs/>
                <w:sz w:val="24"/>
                <w:szCs w:val="24"/>
                <w:lang w:eastAsia="pl-PL"/>
              </w:rPr>
              <w:t>.</w:t>
            </w:r>
          </w:p>
        </w:tc>
      </w:tr>
    </w:tbl>
    <w:p w14:paraId="7C649D6A" w14:textId="77777777" w:rsidR="00C66872" w:rsidRPr="00CC235D" w:rsidRDefault="00C66872" w:rsidP="00C66872">
      <w:pPr>
        <w:rPr>
          <w:rFonts w:ascii="Arial" w:hAnsi="Arial" w:cs="Arial"/>
          <w:sz w:val="24"/>
          <w:szCs w:val="24"/>
        </w:rPr>
      </w:pPr>
    </w:p>
    <w:p w14:paraId="3AF7D9E1" w14:textId="77777777" w:rsidR="00C66872" w:rsidRPr="00CC235D" w:rsidRDefault="00C66872" w:rsidP="00C66872">
      <w:pPr>
        <w:rPr>
          <w:rFonts w:ascii="Arial" w:hAnsi="Arial" w:cs="Arial"/>
          <w:sz w:val="24"/>
          <w:szCs w:val="24"/>
        </w:rPr>
      </w:pPr>
    </w:p>
    <w:p w14:paraId="516E55A5" w14:textId="77777777" w:rsidR="00C66872" w:rsidRPr="00CC235D" w:rsidRDefault="00C66872" w:rsidP="00C66872">
      <w:pPr>
        <w:rPr>
          <w:rFonts w:ascii="Arial" w:hAnsi="Arial" w:cs="Arial"/>
          <w:sz w:val="24"/>
          <w:szCs w:val="24"/>
        </w:rPr>
      </w:pPr>
    </w:p>
    <w:p w14:paraId="10D86AAB" w14:textId="77777777" w:rsidR="00F77EEB" w:rsidRDefault="00F77EEB">
      <w:pPr>
        <w:rPr>
          <w:rFonts w:ascii="Arial" w:hAnsi="Arial" w:cs="Arial"/>
          <w:sz w:val="24"/>
          <w:szCs w:val="24"/>
        </w:rPr>
      </w:pPr>
      <w:r>
        <w:rPr>
          <w:rFonts w:ascii="Arial" w:hAnsi="Arial" w:cs="Arial"/>
          <w:sz w:val="24"/>
          <w:szCs w:val="24"/>
        </w:rPr>
        <w:br w:type="page"/>
      </w:r>
    </w:p>
    <w:p w14:paraId="5980DFC9" w14:textId="77777777" w:rsidR="00C66872" w:rsidRPr="00CC235D" w:rsidRDefault="00C66872" w:rsidP="00C66872">
      <w:pPr>
        <w:rPr>
          <w:rFonts w:ascii="Arial" w:hAnsi="Arial" w:cs="Arial"/>
          <w:sz w:val="24"/>
          <w:szCs w:val="24"/>
        </w:rPr>
      </w:pPr>
      <w:r w:rsidRPr="00CC235D">
        <w:rPr>
          <w:rFonts w:ascii="Arial" w:hAnsi="Arial" w:cs="Arial"/>
          <w:sz w:val="24"/>
          <w:szCs w:val="24"/>
        </w:rPr>
        <w:t>W ramach naboru obowiązują następujące wskaźniki rezultatu:</w:t>
      </w:r>
    </w:p>
    <w:p w14:paraId="40160EAA" w14:textId="77777777" w:rsidR="00C66872" w:rsidRPr="00CC235D" w:rsidRDefault="00C66872" w:rsidP="00C66872">
      <w:pPr>
        <w:rPr>
          <w:rFonts w:ascii="Arial" w:hAnsi="Arial" w:cs="Arial"/>
          <w:sz w:val="24"/>
          <w:szCs w:val="24"/>
        </w:rPr>
      </w:pPr>
    </w:p>
    <w:tbl>
      <w:tblPr>
        <w:tblW w:w="14884" w:type="dxa"/>
        <w:tblInd w:w="-572" w:type="dxa"/>
        <w:tblLayout w:type="fixed"/>
        <w:tblCellMar>
          <w:left w:w="70" w:type="dxa"/>
          <w:right w:w="70" w:type="dxa"/>
        </w:tblCellMar>
        <w:tblLook w:val="00A0" w:firstRow="1" w:lastRow="0" w:firstColumn="1" w:lastColumn="0" w:noHBand="0" w:noVBand="0"/>
      </w:tblPr>
      <w:tblGrid>
        <w:gridCol w:w="567"/>
        <w:gridCol w:w="2268"/>
        <w:gridCol w:w="6804"/>
        <w:gridCol w:w="2552"/>
        <w:gridCol w:w="2693"/>
      </w:tblGrid>
      <w:tr w:rsidR="00C66872" w:rsidRPr="00CC235D" w14:paraId="213FC780" w14:textId="77777777" w:rsidTr="00C31BDF">
        <w:trPr>
          <w:trHeight w:val="14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D7822"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Lp.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368B2A"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Nazwa wskaźnika/</w:t>
            </w:r>
            <w:r w:rsidRPr="00CC235D">
              <w:rPr>
                <w:rFonts w:ascii="Arial" w:eastAsia="Times New Roman" w:hAnsi="Arial" w:cs="Arial"/>
                <w:b/>
                <w:bCs/>
                <w:sz w:val="24"/>
                <w:szCs w:val="24"/>
                <w:lang w:eastAsia="pl-PL"/>
              </w:rPr>
              <w:br/>
              <w:t>jednostka miary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585A9CA"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Definicja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CF9AED" w14:textId="77777777" w:rsidR="00C66872" w:rsidRPr="00CC235D" w:rsidRDefault="00C66872"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Termin pomiaru wskaźnika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774931" w14:textId="77777777" w:rsidR="00C66872" w:rsidRPr="00CC235D" w:rsidRDefault="00C66872" w:rsidP="00014D39">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 xml:space="preserve">Sposób i </w:t>
            </w:r>
            <w:r w:rsidR="00A20AAE">
              <w:rPr>
                <w:rFonts w:ascii="Arial" w:eastAsia="Times New Roman" w:hAnsi="Arial" w:cs="Arial"/>
                <w:b/>
                <w:bCs/>
                <w:sz w:val="24"/>
                <w:szCs w:val="24"/>
                <w:lang w:eastAsia="pl-PL"/>
              </w:rPr>
              <w:t xml:space="preserve">przykładowe </w:t>
            </w:r>
            <w:r w:rsidRPr="00CC235D">
              <w:rPr>
                <w:rFonts w:ascii="Arial" w:eastAsia="Times New Roman" w:hAnsi="Arial" w:cs="Arial"/>
                <w:b/>
                <w:bCs/>
                <w:sz w:val="24"/>
                <w:szCs w:val="24"/>
                <w:lang w:eastAsia="pl-PL"/>
              </w:rPr>
              <w:t>źródła pomiaru wskaźnika</w:t>
            </w:r>
          </w:p>
        </w:tc>
      </w:tr>
      <w:tr w:rsidR="003B2B92" w:rsidRPr="00CC235D" w14:paraId="5DE0FA26"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54627" w14:textId="77777777" w:rsidR="003B2B92" w:rsidRPr="00CC235D" w:rsidRDefault="003B2B92" w:rsidP="003B2B92">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F11909" w14:textId="77777777" w:rsidR="003B2B92" w:rsidRPr="00284992" w:rsidRDefault="00284992" w:rsidP="008F6A0D">
            <w:pPr>
              <w:tabs>
                <w:tab w:val="left" w:pos="3878"/>
              </w:tabs>
              <w:spacing w:before="100"/>
              <w:rPr>
                <w:rFonts w:ascii="Arial" w:eastAsia="Times New Roman" w:hAnsi="Arial" w:cs="Arial"/>
                <w:bCs/>
                <w:sz w:val="24"/>
                <w:szCs w:val="24"/>
                <w:lang w:eastAsia="pl-PL"/>
              </w:rPr>
            </w:pPr>
            <w:r w:rsidRPr="00284992">
              <w:rPr>
                <w:rFonts w:ascii="Arial" w:hAnsi="Arial" w:cs="Arial"/>
                <w:sz w:val="24"/>
                <w:szCs w:val="24"/>
              </w:rPr>
              <w:t>PLCCR01 Liczba osób, które podniosły poziom wiedzy w zakresie równości kobiet i mężczyzn dzięki wsparciu w programie (osoby)</w:t>
            </w:r>
          </w:p>
        </w:tc>
        <w:tc>
          <w:tcPr>
            <w:tcW w:w="6804" w:type="dxa"/>
            <w:tcBorders>
              <w:top w:val="single" w:sz="4" w:space="0" w:color="auto"/>
              <w:bottom w:val="single" w:sz="4" w:space="0" w:color="auto"/>
            </w:tcBorders>
          </w:tcPr>
          <w:p w14:paraId="625A6A6D" w14:textId="77777777" w:rsidR="00284992" w:rsidRPr="00284992" w:rsidRDefault="00284992" w:rsidP="00284992">
            <w:pPr>
              <w:rPr>
                <w:rFonts w:ascii="Arial" w:hAnsi="Arial" w:cs="Arial"/>
                <w:sz w:val="24"/>
                <w:szCs w:val="24"/>
              </w:rPr>
            </w:pPr>
            <w:r w:rsidRPr="00284992">
              <w:rPr>
                <w:rFonts w:ascii="Arial" w:hAnsi="Arial" w:cs="Arial"/>
                <w:sz w:val="24"/>
                <w:szCs w:val="24"/>
              </w:rPr>
              <w:t xml:space="preserve">Wskaźnik mierzy liczbę osób, które dzięki uczestnictwu w projekcie EFS+ podniosły poziom wiedzy w zakresie równości kobiet i mężczyzn. </w:t>
            </w:r>
          </w:p>
          <w:p w14:paraId="41B1B09D" w14:textId="77777777" w:rsidR="00284992" w:rsidRPr="00284992" w:rsidRDefault="00284992" w:rsidP="00284992">
            <w:pPr>
              <w:rPr>
                <w:rFonts w:ascii="Arial" w:hAnsi="Arial" w:cs="Arial"/>
                <w:sz w:val="24"/>
                <w:szCs w:val="24"/>
              </w:rPr>
            </w:pPr>
            <w:r w:rsidRPr="00284992">
              <w:rPr>
                <w:rFonts w:ascii="Arial" w:hAnsi="Arial" w:cs="Arial"/>
                <w:sz w:val="24"/>
                <w:szCs w:val="24"/>
              </w:rPr>
              <w:t xml:space="preserve">Podniesienie poziomu wiedzy weryfikowane powinno być w szczególności poprzez odpowiedni test potwierdzający uzyskany zasób wiadomości. </w:t>
            </w:r>
          </w:p>
          <w:p w14:paraId="58D148C8" w14:textId="77777777" w:rsidR="003B2B92" w:rsidRPr="00CC235D" w:rsidRDefault="00284992" w:rsidP="00284992">
            <w:pPr>
              <w:rPr>
                <w:rFonts w:ascii="Arial" w:eastAsia="Times New Roman" w:hAnsi="Arial" w:cs="Arial"/>
                <w:sz w:val="24"/>
                <w:szCs w:val="24"/>
                <w:lang w:eastAsia="pl-PL"/>
              </w:rPr>
            </w:pPr>
            <w:r w:rsidRPr="00284992">
              <w:rPr>
                <w:rFonts w:ascii="Arial" w:hAnsi="Arial" w:cs="Arial"/>
                <w:sz w:val="24"/>
                <w:szCs w:val="24"/>
              </w:rPr>
              <w:t>Do wskaźnika należy wliczać jedynie osoby, które podniosły poziom wiedzy w zakresie równości kobiet i mężczyzn w trakcie lub bezpośrednio po zakończeniu udziału w projekcie, tj. w ciągu czterech tygodni, które minęły od momentu zakończenia udziału w projekcie.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E20103" w14:textId="77777777" w:rsidR="00D83564" w:rsidRPr="00CC235D" w:rsidRDefault="009F0E7D" w:rsidP="00C31BDF">
            <w:pPr>
              <w:tabs>
                <w:tab w:val="left" w:pos="3878"/>
              </w:tabs>
              <w:spacing w:before="100"/>
              <w:rPr>
                <w:rFonts w:ascii="Arial" w:eastAsia="Times New Roman" w:hAnsi="Arial" w:cs="Arial"/>
                <w:bCs/>
                <w:sz w:val="24"/>
                <w:szCs w:val="24"/>
                <w:lang w:eastAsia="pl-PL"/>
              </w:rPr>
            </w:pPr>
            <w:r>
              <w:rPr>
                <w:rFonts w:ascii="Arial" w:eastAsia="Times New Roman" w:hAnsi="Arial" w:cs="Arial"/>
                <w:bCs/>
                <w:sz w:val="24"/>
                <w:szCs w:val="24"/>
                <w:lang w:eastAsia="pl-PL"/>
              </w:rPr>
              <w:t>D</w:t>
            </w:r>
            <w:r w:rsidR="00E5164C" w:rsidRPr="00E5164C">
              <w:rPr>
                <w:rFonts w:ascii="Arial" w:eastAsia="Times New Roman" w:hAnsi="Arial" w:cs="Arial"/>
                <w:bCs/>
                <w:sz w:val="24"/>
                <w:szCs w:val="24"/>
                <w:lang w:eastAsia="pl-PL"/>
              </w:rPr>
              <w:t xml:space="preserve">o 4 tygodni od zakończenia udziału przez uczestnika </w:t>
            </w:r>
            <w:r w:rsidR="00371FB9">
              <w:rPr>
                <w:rFonts w:ascii="Arial" w:eastAsia="Times New Roman" w:hAnsi="Arial" w:cs="Arial"/>
                <w:bCs/>
                <w:sz w:val="24"/>
                <w:szCs w:val="24"/>
                <w:lang w:eastAsia="pl-PL"/>
              </w:rPr>
              <w:t>obejmowanego</w:t>
            </w:r>
            <w:r w:rsidR="00E5164C" w:rsidRPr="00E5164C">
              <w:rPr>
                <w:rFonts w:ascii="Arial" w:eastAsia="Times New Roman" w:hAnsi="Arial" w:cs="Arial"/>
                <w:bCs/>
                <w:sz w:val="24"/>
                <w:szCs w:val="24"/>
                <w:lang w:eastAsia="pl-PL"/>
              </w:rPr>
              <w:t xml:space="preserve"> wsparciem w projekcie</w:t>
            </w:r>
            <w:r>
              <w:rPr>
                <w:rFonts w:ascii="Arial" w:eastAsia="Times New Roman" w:hAnsi="Arial" w:cs="Arial"/>
                <w:bCs/>
                <w:sz w:val="24"/>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C4DC08F" w14:textId="77777777" w:rsidR="003C5933" w:rsidRPr="003C5933" w:rsidRDefault="007B7814" w:rsidP="003C5933">
            <w:pPr>
              <w:pStyle w:val="Akapitzlist"/>
              <w:tabs>
                <w:tab w:val="left" w:pos="241"/>
                <w:tab w:val="left" w:pos="3878"/>
              </w:tabs>
              <w:spacing w:before="100"/>
              <w:ind w:left="72"/>
              <w:rPr>
                <w:rFonts w:ascii="Arial" w:eastAsia="Times New Roman" w:hAnsi="Arial" w:cs="Arial"/>
                <w:bCs/>
                <w:sz w:val="24"/>
                <w:szCs w:val="24"/>
                <w:lang w:eastAsia="pl-PL"/>
              </w:rPr>
            </w:pPr>
            <w:r>
              <w:rPr>
                <w:rFonts w:ascii="Arial" w:eastAsia="Times New Roman" w:hAnsi="Arial" w:cs="Arial"/>
                <w:bCs/>
                <w:sz w:val="24"/>
                <w:szCs w:val="24"/>
                <w:lang w:eastAsia="pl-PL"/>
              </w:rPr>
              <w:t>Zaświadczenia/</w:t>
            </w:r>
            <w:r w:rsidR="00014D39">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t xml:space="preserve">certyfikaty, testy dokumentujące podniesienie wiedzy. </w:t>
            </w:r>
          </w:p>
        </w:tc>
      </w:tr>
      <w:tr w:rsidR="003C5933" w:rsidRPr="00CC235D" w14:paraId="1FC2F393"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E97998" w14:textId="77777777" w:rsidR="003C5933" w:rsidRPr="00CC235D" w:rsidRDefault="003C5933" w:rsidP="003B2B92">
            <w:pPr>
              <w:tabs>
                <w:tab w:val="left" w:pos="3878"/>
              </w:tabs>
              <w:spacing w:before="100"/>
              <w:rPr>
                <w:rFonts w:ascii="Arial" w:eastAsia="Times New Roman" w:hAnsi="Arial" w:cs="Arial"/>
                <w:bCs/>
                <w:sz w:val="24"/>
                <w:szCs w:val="24"/>
                <w:lang w:eastAsia="pl-PL"/>
              </w:rPr>
            </w:pPr>
            <w:r>
              <w:rPr>
                <w:rFonts w:ascii="Arial" w:eastAsia="Times New Roman" w:hAnsi="Arial" w:cs="Arial"/>
                <w:bCs/>
                <w:sz w:val="24"/>
                <w:szCs w:val="24"/>
                <w:lang w:eastAsia="pl-PL"/>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EA8461" w14:textId="77777777" w:rsidR="003C5933" w:rsidRPr="003C5933" w:rsidRDefault="003C5933" w:rsidP="008F6A0D">
            <w:pPr>
              <w:tabs>
                <w:tab w:val="left" w:pos="3878"/>
              </w:tabs>
              <w:spacing w:before="100"/>
              <w:rPr>
                <w:rFonts w:ascii="Arial" w:hAnsi="Arial" w:cs="Arial"/>
                <w:sz w:val="24"/>
                <w:szCs w:val="24"/>
              </w:rPr>
            </w:pPr>
            <w:r w:rsidRPr="003C5933">
              <w:rPr>
                <w:rFonts w:ascii="Arial" w:hAnsi="Arial" w:cs="Arial"/>
                <w:sz w:val="24"/>
                <w:szCs w:val="24"/>
              </w:rPr>
              <w:t>PLCCR02 Liczba osób znajdujących się w lepszej sytuacji na rynku pracy po opuszczeniu programu (osoby)</w:t>
            </w:r>
          </w:p>
        </w:tc>
        <w:tc>
          <w:tcPr>
            <w:tcW w:w="6804" w:type="dxa"/>
            <w:tcBorders>
              <w:top w:val="single" w:sz="4" w:space="0" w:color="auto"/>
              <w:bottom w:val="single" w:sz="4" w:space="0" w:color="auto"/>
            </w:tcBorders>
          </w:tcPr>
          <w:p w14:paraId="04E52DA5" w14:textId="77777777" w:rsidR="009F0E7D" w:rsidRPr="009F0E7D" w:rsidRDefault="009F0E7D" w:rsidP="009F0E7D">
            <w:pPr>
              <w:rPr>
                <w:rFonts w:ascii="Arial" w:hAnsi="Arial" w:cs="Arial"/>
                <w:sz w:val="24"/>
                <w:szCs w:val="24"/>
              </w:rPr>
            </w:pPr>
            <w:r w:rsidRPr="009F0E7D">
              <w:rPr>
                <w:rFonts w:ascii="Arial" w:hAnsi="Arial" w:cs="Arial"/>
                <w:sz w:val="24"/>
                <w:szCs w:val="24"/>
              </w:rPr>
              <w:t>We wskaźniku należy wykazać wszystkie osoby, których sytuacja na rynku pracy uległa poprawie w wyniku udziału w projekcie w zakresie godzenia życia zawodowego z prywatnym.</w:t>
            </w:r>
          </w:p>
          <w:p w14:paraId="6714D374" w14:textId="77777777" w:rsidR="009F0E7D" w:rsidRPr="009F0E7D" w:rsidRDefault="009F0E7D" w:rsidP="009F0E7D">
            <w:pPr>
              <w:spacing w:before="120" w:after="120"/>
              <w:jc w:val="both"/>
              <w:rPr>
                <w:rFonts w:ascii="Arial" w:eastAsia="Times New Roman" w:hAnsi="Arial" w:cs="Arial"/>
                <w:sz w:val="24"/>
                <w:szCs w:val="24"/>
                <w:lang w:eastAsia="pl-PL"/>
              </w:rPr>
            </w:pPr>
            <w:r w:rsidRPr="009F0E7D">
              <w:rPr>
                <w:rFonts w:ascii="Arial" w:hAnsi="Arial" w:cs="Arial"/>
                <w:sz w:val="24"/>
                <w:szCs w:val="24"/>
              </w:rPr>
              <w:t>Poprzez poprawę sytuacji na rynku pracy należy rozumieć w szczególności: podjęcie pracy lub powrót na rynek pracy po przerwie związanej z urodzeniem/wychowaniem dziecka lub poprawę warunków pracy lub przejście</w:t>
            </w:r>
            <w:r w:rsidRPr="009F0E7D">
              <w:rPr>
                <w:rFonts w:ascii="Arial" w:eastAsia="Times New Roman" w:hAnsi="Arial" w:cs="Arial"/>
                <w:sz w:val="24"/>
                <w:szCs w:val="24"/>
                <w:lang w:eastAsia="pl-PL"/>
              </w:rPr>
              <w:t xml:space="preserve"> z niepewnego do stabilnego zatrudnienia lub przejście 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2500F20B" w14:textId="77777777" w:rsidR="009F0E7D" w:rsidRPr="009F0E7D" w:rsidRDefault="009F0E7D" w:rsidP="009F0E7D">
            <w:pPr>
              <w:spacing w:before="120" w:after="120"/>
              <w:jc w:val="both"/>
              <w:rPr>
                <w:rFonts w:ascii="Arial" w:eastAsia="Times New Roman" w:hAnsi="Arial" w:cs="Arial"/>
                <w:sz w:val="24"/>
                <w:szCs w:val="24"/>
                <w:lang w:eastAsia="pl-PL"/>
              </w:rPr>
            </w:pPr>
            <w:r w:rsidRPr="009F0E7D">
              <w:rPr>
                <w:rFonts w:ascii="Arial" w:eastAsia="Times New Roman" w:hAnsi="Arial" w:cs="Arial"/>
                <w:sz w:val="24"/>
                <w:szCs w:val="24"/>
                <w:lang w:eastAsia="pl-PL"/>
              </w:rPr>
              <w:t>Wskaźnik ten należy rozumieć jako zmianę sytuacji na rynku pracy po opuszczeniu projektu w stosunku do sytuacji w momencie przystąpienia do projektu EFS+ lub poprawę warunków zatrudnienia w dotychczasowej pracy dzięki udziałowi w projekcie.</w:t>
            </w:r>
          </w:p>
          <w:p w14:paraId="30524EDD" w14:textId="77777777" w:rsidR="009F0E7D" w:rsidRPr="009F0E7D" w:rsidRDefault="009F0E7D" w:rsidP="009F0E7D">
            <w:pPr>
              <w:spacing w:before="120" w:after="120"/>
              <w:jc w:val="both"/>
              <w:rPr>
                <w:rFonts w:ascii="Arial" w:eastAsia="Times New Roman" w:hAnsi="Arial" w:cs="Arial"/>
                <w:i/>
                <w:iCs/>
                <w:sz w:val="24"/>
                <w:szCs w:val="24"/>
                <w:lang w:eastAsia="pl-PL"/>
              </w:rPr>
            </w:pPr>
            <w:r w:rsidRPr="009F0E7D">
              <w:rPr>
                <w:rFonts w:ascii="Arial" w:eastAsia="Times New Roman" w:hAnsi="Arial" w:cs="Arial"/>
                <w:sz w:val="24"/>
                <w:szCs w:val="24"/>
                <w:lang w:eastAsia="pl-PL"/>
              </w:rPr>
              <w:t xml:space="preserve">Przez niepewne zatrudnienie rozumie się zatrudnienie oparte na umowie o pracę na czas określony/kontrakt, w tym na zastępstwo, na okres próbny, umowie cywilnoprawnej. </w:t>
            </w:r>
            <w:r w:rsidRPr="009F0E7D">
              <w:rPr>
                <w:rFonts w:ascii="Arial" w:eastAsia="Times New Roman" w:hAnsi="Arial" w:cs="Arial"/>
                <w:i/>
                <w:iCs/>
                <w:sz w:val="24"/>
                <w:szCs w:val="24"/>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60A836F8" w14:textId="77777777" w:rsidR="003C5933" w:rsidRPr="009F0E7D" w:rsidRDefault="009F0E7D" w:rsidP="009F0E7D">
            <w:pPr>
              <w:spacing w:before="120" w:after="120"/>
              <w:jc w:val="both"/>
              <w:rPr>
                <w:rFonts w:ascii="Arial" w:eastAsia="Times New Roman" w:hAnsi="Arial" w:cs="Arial"/>
                <w:sz w:val="24"/>
                <w:szCs w:val="24"/>
                <w:lang w:eastAsia="pl-PL"/>
              </w:rPr>
            </w:pPr>
            <w:r w:rsidRPr="009F0E7D">
              <w:rPr>
                <w:rFonts w:ascii="Arial" w:eastAsia="Times New Roman" w:hAnsi="Arial" w:cs="Arial"/>
                <w:sz w:val="24"/>
                <w:szCs w:val="24"/>
                <w:lang w:eastAsia="pl-PL"/>
              </w:rPr>
              <w:t>Pod pojęciem niepełnego zatrudnienia należy rozumieć</w:t>
            </w:r>
            <w:r w:rsidRPr="009F0E7D">
              <w:rPr>
                <w:rFonts w:ascii="Arial" w:eastAsia="Times New Roman" w:hAnsi="Arial" w:cs="Arial"/>
                <w:i/>
                <w:iCs/>
                <w:sz w:val="24"/>
                <w:szCs w:val="24"/>
                <w:lang w:eastAsia="pl-PL"/>
              </w:rPr>
              <w:t xml:space="preserve"> przymusowe zatrudnienie w niepełnym wymiarze godzin. Oznacza to, że respondenci deklarują, że pracują w niepełnym wymiarze godzin, ponieważ nie mogą znaleźć pracy w pełnym wymiarze godzin</w:t>
            </w:r>
            <w:r w:rsidRPr="009F0E7D">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051BB43" w14:textId="77777777" w:rsidR="003C5933" w:rsidRPr="00E5164C" w:rsidRDefault="009F0E7D" w:rsidP="00284992">
            <w:pPr>
              <w:tabs>
                <w:tab w:val="left" w:pos="3878"/>
              </w:tabs>
              <w:spacing w:before="100"/>
              <w:rPr>
                <w:rFonts w:ascii="Arial" w:eastAsia="Times New Roman" w:hAnsi="Arial" w:cs="Arial"/>
                <w:bCs/>
                <w:sz w:val="24"/>
                <w:szCs w:val="24"/>
                <w:lang w:eastAsia="pl-PL"/>
              </w:rPr>
            </w:pPr>
            <w:r>
              <w:rPr>
                <w:rFonts w:ascii="Arial" w:eastAsia="Times New Roman" w:hAnsi="Arial" w:cs="Arial"/>
                <w:bCs/>
                <w:sz w:val="24"/>
                <w:szCs w:val="24"/>
                <w:lang w:eastAsia="pl-PL"/>
              </w:rPr>
              <w:t>D</w:t>
            </w:r>
            <w:r w:rsidRPr="00E5164C">
              <w:rPr>
                <w:rFonts w:ascii="Arial" w:eastAsia="Times New Roman" w:hAnsi="Arial" w:cs="Arial"/>
                <w:bCs/>
                <w:sz w:val="24"/>
                <w:szCs w:val="24"/>
                <w:lang w:eastAsia="pl-PL"/>
              </w:rPr>
              <w:t xml:space="preserve">o 4 tygodni od zakończenia udziału przez uczestnika </w:t>
            </w:r>
            <w:r>
              <w:rPr>
                <w:rFonts w:ascii="Arial" w:eastAsia="Times New Roman" w:hAnsi="Arial" w:cs="Arial"/>
                <w:bCs/>
                <w:sz w:val="24"/>
                <w:szCs w:val="24"/>
                <w:lang w:eastAsia="pl-PL"/>
              </w:rPr>
              <w:t>obejmowanego</w:t>
            </w:r>
            <w:r w:rsidRPr="00E5164C">
              <w:rPr>
                <w:rFonts w:ascii="Arial" w:eastAsia="Times New Roman" w:hAnsi="Arial" w:cs="Arial"/>
                <w:bCs/>
                <w:sz w:val="24"/>
                <w:szCs w:val="24"/>
                <w:lang w:eastAsia="pl-PL"/>
              </w:rPr>
              <w:t xml:space="preserve"> wsparciem w projekcie</w:t>
            </w:r>
            <w:r>
              <w:rPr>
                <w:rFonts w:ascii="Arial" w:eastAsia="Times New Roman" w:hAnsi="Arial" w:cs="Arial"/>
                <w:bCs/>
                <w:sz w:val="24"/>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A89B3C9" w14:textId="77777777" w:rsidR="003C5933" w:rsidRDefault="009F0E7D" w:rsidP="009F0E7D">
            <w:pPr>
              <w:pStyle w:val="Akapitzlist"/>
              <w:tabs>
                <w:tab w:val="left" w:pos="241"/>
                <w:tab w:val="left" w:pos="3878"/>
              </w:tabs>
              <w:spacing w:before="100"/>
              <w:ind w:left="72"/>
              <w:rPr>
                <w:rFonts w:ascii="Arial" w:eastAsia="Times New Roman" w:hAnsi="Arial" w:cs="Arial"/>
                <w:bCs/>
                <w:sz w:val="24"/>
                <w:szCs w:val="24"/>
                <w:lang w:eastAsia="pl-PL"/>
              </w:rPr>
            </w:pPr>
            <w:r>
              <w:rPr>
                <w:rFonts w:ascii="Arial" w:eastAsia="Times New Roman" w:hAnsi="Arial" w:cs="Arial"/>
                <w:bCs/>
                <w:sz w:val="24"/>
                <w:szCs w:val="24"/>
                <w:lang w:eastAsia="pl-PL"/>
              </w:rPr>
              <w:t>U</w:t>
            </w:r>
            <w:r w:rsidRPr="00A21899">
              <w:rPr>
                <w:rFonts w:ascii="Arial" w:eastAsia="Times New Roman" w:hAnsi="Arial" w:cs="Arial"/>
                <w:bCs/>
                <w:sz w:val="24"/>
                <w:szCs w:val="24"/>
                <w:lang w:eastAsia="pl-PL"/>
              </w:rPr>
              <w:t xml:space="preserve">mowa </w:t>
            </w:r>
            <w:r>
              <w:rPr>
                <w:rFonts w:ascii="Arial" w:eastAsia="Times New Roman" w:hAnsi="Arial" w:cs="Arial"/>
                <w:bCs/>
                <w:sz w:val="24"/>
                <w:szCs w:val="24"/>
                <w:lang w:eastAsia="pl-PL"/>
              </w:rPr>
              <w:t>o</w:t>
            </w:r>
            <w:r w:rsidRPr="00A21899">
              <w:rPr>
                <w:rFonts w:ascii="Arial" w:eastAsia="Times New Roman" w:hAnsi="Arial" w:cs="Arial"/>
                <w:bCs/>
                <w:sz w:val="24"/>
                <w:szCs w:val="24"/>
                <w:lang w:eastAsia="pl-PL"/>
              </w:rPr>
              <w:t xml:space="preserve"> </w:t>
            </w:r>
            <w:r>
              <w:rPr>
                <w:rFonts w:ascii="Arial" w:eastAsia="Times New Roman" w:hAnsi="Arial" w:cs="Arial"/>
                <w:bCs/>
                <w:sz w:val="24"/>
                <w:szCs w:val="24"/>
                <w:lang w:eastAsia="pl-PL"/>
              </w:rPr>
              <w:t>p</w:t>
            </w:r>
            <w:r w:rsidRPr="00A21899">
              <w:rPr>
                <w:rFonts w:ascii="Arial" w:eastAsia="Times New Roman" w:hAnsi="Arial" w:cs="Arial"/>
                <w:bCs/>
                <w:sz w:val="24"/>
                <w:szCs w:val="24"/>
                <w:lang w:eastAsia="pl-PL"/>
              </w:rPr>
              <w:t>racę</w:t>
            </w:r>
            <w:r>
              <w:rPr>
                <w:rFonts w:ascii="Arial" w:eastAsia="Times New Roman" w:hAnsi="Arial" w:cs="Arial"/>
                <w:bCs/>
                <w:sz w:val="24"/>
                <w:szCs w:val="24"/>
                <w:lang w:eastAsia="pl-PL"/>
              </w:rPr>
              <w:t xml:space="preserve">, </w:t>
            </w:r>
            <w:r w:rsidRPr="00A21899">
              <w:rPr>
                <w:rFonts w:ascii="Arial" w:eastAsia="Times New Roman" w:hAnsi="Arial" w:cs="Arial"/>
                <w:bCs/>
                <w:sz w:val="24"/>
                <w:szCs w:val="24"/>
                <w:lang w:eastAsia="pl-PL"/>
              </w:rPr>
              <w:t>umowa cywilnoprawna/</w:t>
            </w:r>
            <w:r>
              <w:rPr>
                <w:rFonts w:ascii="Arial" w:eastAsia="Times New Roman" w:hAnsi="Arial" w:cs="Arial"/>
                <w:bCs/>
                <w:sz w:val="24"/>
                <w:szCs w:val="24"/>
                <w:lang w:eastAsia="pl-PL"/>
              </w:rPr>
              <w:t xml:space="preserve">, </w:t>
            </w:r>
            <w:r w:rsidRPr="00A21899">
              <w:rPr>
                <w:rFonts w:ascii="Arial" w:eastAsia="Times New Roman" w:hAnsi="Arial" w:cs="Arial"/>
                <w:bCs/>
                <w:sz w:val="24"/>
                <w:szCs w:val="24"/>
                <w:lang w:eastAsia="pl-PL"/>
              </w:rPr>
              <w:t>wpis do CEIDG lub KRS</w:t>
            </w:r>
            <w:r>
              <w:rPr>
                <w:rFonts w:ascii="Arial" w:eastAsia="Times New Roman" w:hAnsi="Arial" w:cs="Arial"/>
                <w:bCs/>
                <w:sz w:val="24"/>
                <w:szCs w:val="24"/>
                <w:lang w:eastAsia="pl-PL"/>
              </w:rPr>
              <w:t xml:space="preserve">, </w:t>
            </w:r>
            <w:r w:rsidRPr="00A21899">
              <w:rPr>
                <w:rFonts w:ascii="Arial" w:eastAsia="Times New Roman" w:hAnsi="Arial" w:cs="Arial"/>
                <w:bCs/>
                <w:sz w:val="24"/>
                <w:szCs w:val="24"/>
                <w:lang w:eastAsia="pl-PL"/>
              </w:rPr>
              <w:t>zaświadczenie od</w:t>
            </w:r>
            <w:r>
              <w:t xml:space="preserve"> </w:t>
            </w:r>
            <w:r w:rsidRPr="00A21899">
              <w:rPr>
                <w:rFonts w:ascii="Arial" w:eastAsia="Times New Roman" w:hAnsi="Arial" w:cs="Arial"/>
                <w:bCs/>
                <w:sz w:val="24"/>
                <w:szCs w:val="24"/>
                <w:lang w:eastAsia="pl-PL"/>
              </w:rPr>
              <w:t>prac</w:t>
            </w:r>
            <w:r>
              <w:rPr>
                <w:rFonts w:ascii="Arial" w:eastAsia="Times New Roman" w:hAnsi="Arial" w:cs="Arial"/>
                <w:bCs/>
                <w:sz w:val="24"/>
                <w:szCs w:val="24"/>
                <w:lang w:eastAsia="pl-PL"/>
              </w:rPr>
              <w:t>odawcy potwierdzające poprawę sytuacji na rynku pracy</w:t>
            </w:r>
            <w:r w:rsidRPr="00A21899">
              <w:rPr>
                <w:rFonts w:ascii="Arial" w:eastAsia="Times New Roman" w:hAnsi="Arial" w:cs="Arial"/>
                <w:bCs/>
                <w:sz w:val="24"/>
                <w:szCs w:val="24"/>
                <w:lang w:eastAsia="pl-PL"/>
              </w:rPr>
              <w:t>.</w:t>
            </w:r>
          </w:p>
        </w:tc>
      </w:tr>
    </w:tbl>
    <w:p w14:paraId="150701CE" w14:textId="77777777" w:rsidR="00C66872" w:rsidRPr="00CC235D" w:rsidRDefault="00C66872" w:rsidP="00C66872">
      <w:pPr>
        <w:rPr>
          <w:rFonts w:ascii="Arial" w:hAnsi="Arial" w:cs="Arial"/>
          <w:sz w:val="24"/>
          <w:szCs w:val="24"/>
        </w:rPr>
      </w:pPr>
    </w:p>
    <w:p w14:paraId="48DD068A" w14:textId="77777777" w:rsidR="00142EBD" w:rsidRPr="00CC235D" w:rsidRDefault="00142EBD" w:rsidP="00C66872">
      <w:pPr>
        <w:rPr>
          <w:rFonts w:ascii="Arial" w:hAnsi="Arial" w:cs="Arial"/>
          <w:sz w:val="24"/>
          <w:szCs w:val="24"/>
        </w:rPr>
      </w:pPr>
    </w:p>
    <w:p w14:paraId="6250B9A4" w14:textId="77777777" w:rsidR="00C31BDF" w:rsidRDefault="00C31BDF">
      <w:pPr>
        <w:rPr>
          <w:rFonts w:ascii="Arial" w:hAnsi="Arial" w:cs="Arial"/>
          <w:sz w:val="24"/>
          <w:szCs w:val="24"/>
        </w:rPr>
      </w:pPr>
      <w:r>
        <w:rPr>
          <w:rFonts w:ascii="Arial" w:hAnsi="Arial" w:cs="Arial"/>
          <w:sz w:val="24"/>
          <w:szCs w:val="24"/>
        </w:rPr>
        <w:br w:type="page"/>
      </w:r>
    </w:p>
    <w:p w14:paraId="4DEEBCCB" w14:textId="77777777" w:rsidR="00142EBD" w:rsidRPr="00CC235D" w:rsidRDefault="00142EBD" w:rsidP="00C66872">
      <w:pPr>
        <w:rPr>
          <w:rFonts w:ascii="Arial" w:eastAsia="Times New Roman" w:hAnsi="Arial" w:cs="Arial"/>
          <w:sz w:val="24"/>
          <w:szCs w:val="24"/>
          <w:lang w:eastAsia="pl-PL"/>
        </w:rPr>
      </w:pPr>
      <w:r w:rsidRPr="00CC235D">
        <w:rPr>
          <w:rFonts w:ascii="Arial" w:eastAsia="Times New Roman" w:hAnsi="Arial" w:cs="Arial"/>
          <w:sz w:val="24"/>
          <w:szCs w:val="24"/>
          <w:lang w:eastAsia="pl-PL"/>
        </w:rPr>
        <w:t>Inne wspólne wskaźniki produktu mierzone we wszystkich celach szczegółowych.</w:t>
      </w:r>
    </w:p>
    <w:p w14:paraId="5ACD8705" w14:textId="77777777" w:rsidR="00142EBD" w:rsidRPr="00CC235D" w:rsidRDefault="00142EBD" w:rsidP="00C66872">
      <w:pPr>
        <w:rPr>
          <w:rFonts w:ascii="Arial" w:eastAsia="Times New Roman" w:hAnsi="Arial" w:cs="Arial"/>
          <w:sz w:val="24"/>
          <w:szCs w:val="24"/>
          <w:lang w:eastAsia="pl-PL"/>
        </w:rPr>
      </w:pPr>
    </w:p>
    <w:tbl>
      <w:tblPr>
        <w:tblW w:w="14884" w:type="dxa"/>
        <w:tblInd w:w="-572" w:type="dxa"/>
        <w:tblLayout w:type="fixed"/>
        <w:tblCellMar>
          <w:left w:w="70" w:type="dxa"/>
          <w:right w:w="70" w:type="dxa"/>
        </w:tblCellMar>
        <w:tblLook w:val="00A0" w:firstRow="1" w:lastRow="0" w:firstColumn="1" w:lastColumn="0" w:noHBand="0" w:noVBand="0"/>
      </w:tblPr>
      <w:tblGrid>
        <w:gridCol w:w="567"/>
        <w:gridCol w:w="2268"/>
        <w:gridCol w:w="6804"/>
        <w:gridCol w:w="2552"/>
        <w:gridCol w:w="2693"/>
      </w:tblGrid>
      <w:tr w:rsidR="00142EBD" w:rsidRPr="00CC235D" w14:paraId="70B609DB" w14:textId="77777777" w:rsidTr="00C31BDF">
        <w:trPr>
          <w:trHeight w:val="14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C1AB67" w14:textId="77777777"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Lp.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D94711" w14:textId="77777777"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Nazwa wskaźnika/</w:t>
            </w:r>
            <w:r w:rsidRPr="00CC235D">
              <w:rPr>
                <w:rFonts w:ascii="Arial" w:eastAsia="Times New Roman" w:hAnsi="Arial" w:cs="Arial"/>
                <w:b/>
                <w:bCs/>
                <w:sz w:val="24"/>
                <w:szCs w:val="24"/>
                <w:lang w:eastAsia="pl-PL"/>
              </w:rPr>
              <w:br/>
              <w:t>jednostka miary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B8816F0" w14:textId="77777777"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Definicja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EE4E521" w14:textId="77777777" w:rsidR="00142EBD" w:rsidRPr="00CC235D" w:rsidRDefault="00142EBD" w:rsidP="002142F7">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Termin pomiaru wskaźnika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370B38" w14:textId="77777777" w:rsidR="00142EBD" w:rsidRPr="00CC235D" w:rsidRDefault="00142EBD" w:rsidP="00014D39">
            <w:pPr>
              <w:tabs>
                <w:tab w:val="left" w:pos="3878"/>
              </w:tabs>
              <w:spacing w:before="100"/>
              <w:rPr>
                <w:rFonts w:ascii="Arial" w:eastAsia="Times New Roman" w:hAnsi="Arial" w:cs="Arial"/>
                <w:b/>
                <w:bCs/>
                <w:sz w:val="24"/>
                <w:szCs w:val="24"/>
                <w:lang w:eastAsia="pl-PL"/>
              </w:rPr>
            </w:pPr>
            <w:r w:rsidRPr="00CC235D">
              <w:rPr>
                <w:rFonts w:ascii="Arial" w:eastAsia="Times New Roman" w:hAnsi="Arial" w:cs="Arial"/>
                <w:b/>
                <w:bCs/>
                <w:sz w:val="24"/>
                <w:szCs w:val="24"/>
                <w:lang w:eastAsia="pl-PL"/>
              </w:rPr>
              <w:t xml:space="preserve">Sposób i </w:t>
            </w:r>
            <w:r w:rsidR="00A20AAE">
              <w:rPr>
                <w:rFonts w:ascii="Arial" w:eastAsia="Times New Roman" w:hAnsi="Arial" w:cs="Arial"/>
                <w:b/>
                <w:bCs/>
                <w:sz w:val="24"/>
                <w:szCs w:val="24"/>
                <w:lang w:eastAsia="pl-PL"/>
              </w:rPr>
              <w:t xml:space="preserve">przykładowe </w:t>
            </w:r>
            <w:r w:rsidRPr="00CC235D">
              <w:rPr>
                <w:rFonts w:ascii="Arial" w:eastAsia="Times New Roman" w:hAnsi="Arial" w:cs="Arial"/>
                <w:b/>
                <w:bCs/>
                <w:sz w:val="24"/>
                <w:szCs w:val="24"/>
                <w:lang w:eastAsia="pl-PL"/>
              </w:rPr>
              <w:t>źródła pomiaru wskaźnika</w:t>
            </w:r>
          </w:p>
        </w:tc>
      </w:tr>
      <w:tr w:rsidR="00142EBD" w:rsidRPr="00CC235D" w14:paraId="58352E4A"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4FE56"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BDF2B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PL0CO01 Liczba projektów, w których sfinansowana koszty racjonalnych usprawnień dla osób z niepełnosprawnościami</w:t>
            </w:r>
            <w:r w:rsidR="00CD5800">
              <w:rPr>
                <w:rFonts w:ascii="Arial" w:eastAsia="Times New Roman" w:hAnsi="Arial" w:cs="Arial"/>
                <w:bCs/>
                <w:sz w:val="24"/>
                <w:szCs w:val="24"/>
                <w:lang w:eastAsia="pl-PL"/>
              </w:rPr>
              <w:t xml:space="preserve"> </w:t>
            </w:r>
            <w:r w:rsidR="00CD5800" w:rsidRPr="00CD5800">
              <w:rPr>
                <w:rFonts w:ascii="Arial" w:eastAsia="Times New Roman" w:hAnsi="Arial" w:cs="Arial"/>
                <w:bCs/>
                <w:sz w:val="24"/>
                <w:szCs w:val="24"/>
                <w:lang w:eastAsia="pl-PL"/>
              </w:rPr>
              <w:t>(sztuki)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8166A7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Racjonalne usprawnienie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F004D32"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rozliczenia wydatku związanego z racjonalnymi usprawnieniami w ramach danego projektu.</w:t>
            </w:r>
          </w:p>
          <w:p w14:paraId="599E66CE"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CDADF67"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63B941D7"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551FC3A0"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Definicja na podstawie: Wytyczne w zakresie realizacji zasad równościowych w ramach funduszy unijnych na lata 2021-2027.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A0A7E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rozliczenia wydatku związanego z racjonalnymi usprawnieniami w ramach danego projektu.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55BCB5"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Dokument księgowy potwierdzający poniesienie wydatków, np. faktura Vat, rachunek wraz z protokołem odbioru i wpisem do ewidencji środków trwałych (jeśli dotyczy)</w:t>
            </w:r>
            <w:r w:rsidR="009F0E7D">
              <w:rPr>
                <w:rFonts w:ascii="Arial" w:eastAsia="Times New Roman" w:hAnsi="Arial" w:cs="Arial"/>
                <w:bCs/>
                <w:sz w:val="24"/>
                <w:szCs w:val="24"/>
                <w:lang w:eastAsia="pl-PL"/>
              </w:rPr>
              <w:t>.</w:t>
            </w:r>
          </w:p>
        </w:tc>
      </w:tr>
      <w:tr w:rsidR="00142EBD" w:rsidRPr="00CC235D" w14:paraId="58F6280A"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3DB21D"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E6C538"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PL0CO02 Liczba obiektów dostosowanych do potrzeb osób z niepełnosprawnościami</w:t>
            </w:r>
            <w:r w:rsidR="00CD5800">
              <w:rPr>
                <w:rFonts w:ascii="Arial" w:eastAsia="Times New Roman" w:hAnsi="Arial" w:cs="Arial"/>
                <w:bCs/>
                <w:sz w:val="24"/>
                <w:szCs w:val="24"/>
                <w:lang w:eastAsia="pl-PL"/>
              </w:rPr>
              <w:t xml:space="preserve"> </w:t>
            </w:r>
            <w:r w:rsidR="00CD5800" w:rsidRPr="00CD5800">
              <w:rPr>
                <w:rFonts w:ascii="Arial" w:eastAsia="Times New Roman" w:hAnsi="Arial" w:cs="Arial"/>
                <w:bCs/>
                <w:sz w:val="24"/>
                <w:szCs w:val="24"/>
                <w:lang w:eastAsia="pl-PL"/>
              </w:rPr>
              <w:t>(sztuki)</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828E883"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446CA409"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Jako obiekty należy rozumieć konstrukcje połączone z gruntem w sposób trwały, wykonane z materiałów budowlanych i elementów składowych, będące wynikiem prac budowlanych (wg. def. PKOB).</w:t>
            </w:r>
          </w:p>
          <w:p w14:paraId="16DDBAD3"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354E40D"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rozliczenia wydatku związanego z wyposażeniem obiektów w rozwiązania służące osobom z niepełnosprawnościami w ramach danego projektu.</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BDB7C9"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rozliczenia wydatku związanego z wyposażeniem obiektów w rozwiązania służące osobom z niepełnosprawnościami w ramach danego projektu.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409DE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Dokument księgowy potwierdzający poniesienie wydatków, np. faktura Vat, rachunek wraz z protokołem odbioru i wpisem do ewidencji środków trwałych (jeśli dotyczy)</w:t>
            </w:r>
            <w:r w:rsidR="009F0E7D">
              <w:rPr>
                <w:rFonts w:ascii="Arial" w:eastAsia="Times New Roman" w:hAnsi="Arial" w:cs="Arial"/>
                <w:bCs/>
                <w:sz w:val="24"/>
                <w:szCs w:val="24"/>
                <w:lang w:eastAsia="pl-PL"/>
              </w:rPr>
              <w:t>.</w:t>
            </w:r>
          </w:p>
        </w:tc>
      </w:tr>
      <w:tr w:rsidR="00142EBD" w:rsidRPr="00CC235D" w14:paraId="199296AC"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AFD4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8320A7"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EECO12 Liczba osób z niepełnosprawnościami objętych wsparciem w programie (osoby)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E885F6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0C0460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z niepełnosprawnościami określana jest w momencie rozpoczęcia udziału w projekcie, tj. w chwili rozpoczęcia udziału w pierwszej formie wsparcia w projekcie.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4CA4C6"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5A10C6"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14:paraId="28427BC2"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z niepełnosprawnościami</w:t>
            </w:r>
          </w:p>
        </w:tc>
      </w:tr>
      <w:tr w:rsidR="00142EBD" w:rsidRPr="00CC235D" w14:paraId="1DF422E7"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B0C1E"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FCA740"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EECO13 Liczba osób z krajów trzecich objętych wsparciem w programie (osoby)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2A91F9C"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Osoby, które są obywatelami krajów spoza UE. Do wskaźnika wlicza się też bezpaństwowców zgodnie z Konwencją o statusie bezpaństwowców z 1954 r. i osoby bez ustalonego obywatelstwa. </w:t>
            </w:r>
          </w:p>
          <w:p w14:paraId="0D2E89F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z krajów trzecich określana jest w momencie rozpoczęcia udziału w projekcie, tj. w chwili rozpoczęcia udziału w pierwszej formie wsparcia w projekcie.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6F06CB"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7647995"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14:paraId="249908D2"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z krajów trzecich</w:t>
            </w:r>
            <w:r w:rsidR="009F0E7D">
              <w:rPr>
                <w:rFonts w:ascii="Arial" w:eastAsia="Times New Roman" w:hAnsi="Arial" w:cs="Arial"/>
                <w:bCs/>
                <w:sz w:val="24"/>
                <w:szCs w:val="24"/>
                <w:lang w:eastAsia="pl-PL"/>
              </w:rPr>
              <w:t>.</w:t>
            </w:r>
          </w:p>
        </w:tc>
      </w:tr>
      <w:tr w:rsidR="00142EBD" w:rsidRPr="00CC235D" w14:paraId="77F3813F"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EBBDC0"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DB53AE"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EECO14 Liczba osób obcego pochodzenia objętych wsparciem w programie (osoby)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0260763"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Osoby obcego pochodzenia to cudzoziemcy - każda osoba, która nie posiada polskiego obywatelstwa, bez względu na fakt posiadania lub nie obywatelstwa (obywatelstw) innych krajów. </w:t>
            </w:r>
          </w:p>
          <w:p w14:paraId="3DF63E40"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ABEFC8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obcego pochodzenia określana jest w momencie rozpoczęcia udziału w projekcie, tj. w chwili rozpoczęcia udziału w pierwszej formie wsparcia w projekcie.</w:t>
            </w:r>
          </w:p>
          <w:p w14:paraId="7BEBD595"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będzie obejmował zawsze osoby z krajów trzecich, zliczane we wskaźniku liczba osób z krajów trzecich objętych wsparciem w programie.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16DBAF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A9E601"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14:paraId="55E97327"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obcego pochodzenia</w:t>
            </w:r>
            <w:r w:rsidR="009F0E7D">
              <w:rPr>
                <w:rFonts w:ascii="Arial" w:eastAsia="Times New Roman" w:hAnsi="Arial" w:cs="Arial"/>
                <w:bCs/>
                <w:sz w:val="24"/>
                <w:szCs w:val="24"/>
                <w:lang w:eastAsia="pl-PL"/>
              </w:rPr>
              <w:t>.</w:t>
            </w:r>
          </w:p>
        </w:tc>
      </w:tr>
      <w:tr w:rsidR="00142EBD" w:rsidRPr="00CC235D" w14:paraId="40C97183"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2452C"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4896A"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EECO15 Liczba osób należących do mniejszości, w tym społeczności marginalizowanych takich jak Romowie, objętych wsparciem w programie (osoby)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3E89EF2"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obejmuje osoby należące do mniejszości narodowych i etnicznych biorące udział w projektach EFS+.</w:t>
            </w:r>
          </w:p>
          <w:p w14:paraId="2E267212"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Zgodnie z prawem krajowym mniejszości narodowe to mniejszość: białoruska, czeska, litewska, niemiecka, ormiańska, rosyjska, słowacka, ukraińska, żydowska. Mniejszości etniczne: karaimska, łemkowska, romska, tatarska.</w:t>
            </w:r>
          </w:p>
          <w:p w14:paraId="13F2F34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Definicja opracowana na podstawie ustawy z dnia 6 stycznia 2005 r. o mniejszościach narodowych i etnicznych oraz o języku regionalnym.</w:t>
            </w:r>
          </w:p>
          <w:p w14:paraId="6A6CDE36"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należących do mniejszości określana jest w momencie rozpoczęcia udziału w projekcie, tj. w chwili rozpoczęcia udziału w pierwszej formie wsparcia w projekcie.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D95A68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21FB2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14:paraId="2FADFCD6"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należących do mniejszości</w:t>
            </w:r>
            <w:r w:rsidR="009F0E7D">
              <w:rPr>
                <w:rFonts w:ascii="Arial" w:eastAsia="Times New Roman" w:hAnsi="Arial" w:cs="Arial"/>
                <w:bCs/>
                <w:sz w:val="24"/>
                <w:szCs w:val="24"/>
                <w:lang w:eastAsia="pl-PL"/>
              </w:rPr>
              <w:t>.</w:t>
            </w:r>
          </w:p>
        </w:tc>
      </w:tr>
      <w:tr w:rsidR="00142EBD" w:rsidRPr="00CC235D" w14:paraId="49A78C85"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48B48"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2FF0B8"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EECO16 Liczba osób w kryzysie bezdomności lub dotkniętych wykluczeniem z dostępu do mieszkań, objętych wsparciem w programie (osoby)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0329917"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We wskaźniku wykazywane są osoby w kryzysie bezdomności lub dotknięte wykluczeniem z dostępu do mieszkań.</w:t>
            </w:r>
          </w:p>
          <w:p w14:paraId="3027BD7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w:t>
            </w:r>
            <w:r w:rsidR="00014D39">
              <w:rPr>
                <w:rFonts w:ascii="Arial" w:eastAsia="Times New Roman" w:hAnsi="Arial" w:cs="Arial"/>
                <w:bCs/>
                <w:sz w:val="24"/>
                <w:szCs w:val="24"/>
                <w:lang w:eastAsia="pl-PL"/>
              </w:rPr>
              <w:t> </w:t>
            </w:r>
            <w:r w:rsidRPr="00CC235D">
              <w:rPr>
                <w:rFonts w:ascii="Arial" w:eastAsia="Times New Roman" w:hAnsi="Arial" w:cs="Arial"/>
                <w:bCs/>
                <w:sz w:val="24"/>
                <w:szCs w:val="24"/>
                <w:lang w:eastAsia="pl-PL"/>
              </w:rPr>
              <w:t xml:space="preserve">r. o pomocy społecznej: </w:t>
            </w:r>
          </w:p>
          <w:p w14:paraId="7F9BEA86"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1.Bez dachu nad głową, w tym osoby żyjące w przestrzeni publicznej lub zakwaterowane interwencyjnie;</w:t>
            </w:r>
          </w:p>
          <w:p w14:paraId="1B8107AD"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2.Bez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40102807"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46DC6684"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4.Nieodpowiednie warunki mieszkaniowe, w tym osoby zamieszkujące konstrukcje tymczasowe/nietrwałe, mieszkania </w:t>
            </w:r>
            <w:proofErr w:type="spellStart"/>
            <w:r w:rsidRPr="00CC235D">
              <w:rPr>
                <w:rFonts w:ascii="Arial" w:eastAsia="Times New Roman" w:hAnsi="Arial" w:cs="Arial"/>
                <w:bCs/>
                <w:sz w:val="24"/>
                <w:szCs w:val="24"/>
                <w:lang w:eastAsia="pl-PL"/>
              </w:rPr>
              <w:t>substandardowe</w:t>
            </w:r>
            <w:proofErr w:type="spellEnd"/>
            <w:r w:rsidRPr="00CC235D">
              <w:rPr>
                <w:rFonts w:ascii="Arial" w:eastAsia="Times New Roman" w:hAnsi="Arial" w:cs="Arial"/>
                <w:bCs/>
                <w:sz w:val="24"/>
                <w:szCs w:val="24"/>
                <w:lang w:eastAsia="pl-PL"/>
              </w:rPr>
              <w:t xml:space="preserve"> - lokale nienadające się do zamieszkania wg standardu krajowego, w warunkach skrajnego przeludnienia;</w:t>
            </w:r>
          </w:p>
          <w:p w14:paraId="1055A4DB"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40A2234D"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Osoby dorosłe mieszkające z rodzicami nie powinny być wykazywane we wskaźniku, chyba że wszystkie te osoby są w kryzysie bezdomności lub mieszkają w nieodpowiednich i niebezpiecznych warunkach.</w:t>
            </w:r>
          </w:p>
          <w:p w14:paraId="27310E3A"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Przynależność do grupy osób w kryzysie bezdomności lub dotkniętych wykluczeniem z dostępu do mieszkań określana jest w momencie rozpoczęcia udziału w projekcie, tj. w chwili rozpoczęcia udziału w pierwszej formie wsparcia w projekcie.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FB84F7"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Pomiar w momencie rozpoczęcia udziału w projekcie, rozumianym co do zasady jako przystąpienie do pierwszej formy wsparcia w ramach projektu. Pomiar wskaźnika dokonywany jest sukcesywnie w trakcie realizacji projektu np. nie rzadziej niż raz na kwartał.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F28AC8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 xml:space="preserve">Warunkiem koniecznym do rozpoczęcia udziału w projekcie jest podanie przez uczestnika danych osobowych w zakresie wskazanym przez Wytyczne dotyczące monitorowania postępu rzeczowego realizacji programów na lata 2021-2027. </w:t>
            </w:r>
          </w:p>
          <w:p w14:paraId="26709F9A"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Źródłem weryfikacji wskaźnika są kompletne i poprawnie wypełnione dokumenty rekrutacyjne uczestników oraz dokumenty potwierdzające przystąpienie do pierwszej formy wsparcia np.: umowy uczestnictwa, deklaracje uczestnictwa, listy obecności, dzienniki zajęć, dokument potwierdzający przynależność do grupy osób w kryzysie bezdomności lub dotkniętych wykluczeniem z dostępu do mieszkań</w:t>
            </w:r>
            <w:r w:rsidR="009F0E7D">
              <w:rPr>
                <w:rFonts w:ascii="Arial" w:eastAsia="Times New Roman" w:hAnsi="Arial" w:cs="Arial"/>
                <w:bCs/>
                <w:sz w:val="24"/>
                <w:szCs w:val="24"/>
                <w:lang w:eastAsia="pl-PL"/>
              </w:rPr>
              <w:t>.</w:t>
            </w:r>
          </w:p>
        </w:tc>
      </w:tr>
      <w:tr w:rsidR="00142EBD" w:rsidRPr="00CC235D" w14:paraId="487D5174"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C69F49"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D98C9C"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EECO18 Liczba objętych wsparciem podmiotów administracji publicznej lub służb publicznych na szczeblu krajowym, regionalnym lub lokalnym (podmioty)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DF41563"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Za służby publiczne uznaje się publiczne lub prywatne podmioty, które świadczą usługi publiczne (w przypadku usług publicznych zlecanych przez państwo podmiotom prywatnym lub świadczonych w ramach partnerstwa publiczno-prywatnego).</w:t>
            </w:r>
          </w:p>
          <w:p w14:paraId="07E55335"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w:t>
            </w:r>
            <w:r w:rsidR="009F0E7D">
              <w:rPr>
                <w:rFonts w:ascii="Arial" w:eastAsia="Times New Roman" w:hAnsi="Arial" w:cs="Arial"/>
                <w:bCs/>
                <w:sz w:val="24"/>
                <w:szCs w:val="24"/>
                <w:lang w:eastAsia="pl-PL"/>
              </w:rPr>
              <w:t xml:space="preserve">ażaniem budżetu i zarządzaniem </w:t>
            </w:r>
            <w:r w:rsidRPr="00CC235D">
              <w:rPr>
                <w:rFonts w:ascii="Arial" w:eastAsia="Times New Roman" w:hAnsi="Arial" w:cs="Arial"/>
                <w:bCs/>
                <w:sz w:val="24"/>
                <w:szCs w:val="24"/>
                <w:lang w:eastAsia="pl-PL"/>
              </w:rPr>
              <w:t>środkami budżetu państwa i długiem publicznym (pobieranie i otrzymywanie pieniędzy oraz kontrola ich wydatkowania); administrację zajmującą się sprawami obywatelskimi, polityką w zakresie badań i rozwoju oraz powiązanymi fundusza</w:t>
            </w:r>
            <w:r w:rsidR="009F0E7D">
              <w:rPr>
                <w:rFonts w:ascii="Arial" w:eastAsia="Times New Roman" w:hAnsi="Arial" w:cs="Arial"/>
                <w:bCs/>
                <w:sz w:val="24"/>
                <w:szCs w:val="24"/>
                <w:lang w:eastAsia="pl-PL"/>
              </w:rPr>
              <w:t xml:space="preserve">mi; administrację i realizację </w:t>
            </w:r>
            <w:r w:rsidRPr="00CC235D">
              <w:rPr>
                <w:rFonts w:ascii="Arial" w:eastAsia="Times New Roman" w:hAnsi="Arial" w:cs="Arial"/>
                <w:bCs/>
                <w:sz w:val="24"/>
                <w:szCs w:val="24"/>
                <w:lang w:eastAsia="pl-PL"/>
              </w:rPr>
              <w:t>ogólnego planowania gospodarczego i społecznego oraz usług statystycznych na różnych szczeblach rządzenia.</w:t>
            </w:r>
          </w:p>
          <w:p w14:paraId="03B5BC60"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Informacje dotyczące podmiotów objętych wsparciem powinny pochodzić z dokumentów administracyjnych np. z umów o dofinansowanie.</w:t>
            </w:r>
          </w:p>
          <w:p w14:paraId="6E08511D"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Do wskaźnika wliczane są tylko te podmioty, dla których można wyróżnić wydatki (nie dotyczy pomocy technicznej).</w:t>
            </w:r>
          </w:p>
          <w:p w14:paraId="501CC61D"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Podmiot jest wliczany do wskaźnika w momencie rozpoczęcia udziału w projekcie.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E914AF" w14:textId="77777777" w:rsidR="00142EBD" w:rsidRPr="00CC235D" w:rsidRDefault="00142EBD"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rozpoczęcia udziału podmiotu w projekcie</w:t>
            </w:r>
            <w:r w:rsidR="009F0E7D">
              <w:rPr>
                <w:rFonts w:ascii="Arial" w:eastAsia="Times New Roman" w:hAnsi="Arial" w:cs="Arial"/>
                <w:bCs/>
                <w:sz w:val="24"/>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E63180" w14:textId="77777777" w:rsidR="00142EBD" w:rsidRDefault="009F0E7D" w:rsidP="002C3296">
            <w:pPr>
              <w:widowControl/>
              <w:tabs>
                <w:tab w:val="left" w:pos="3878"/>
              </w:tabs>
              <w:autoSpaceDE/>
              <w:autoSpaceDN/>
              <w:spacing w:before="100" w:after="200"/>
              <w:contextualSpacing/>
              <w:rPr>
                <w:rFonts w:ascii="Arial" w:eastAsia="Times New Roman" w:hAnsi="Arial" w:cs="Arial"/>
                <w:bCs/>
                <w:sz w:val="24"/>
                <w:szCs w:val="24"/>
                <w:lang w:eastAsia="pl-PL"/>
              </w:rPr>
            </w:pPr>
            <w:r>
              <w:rPr>
                <w:rFonts w:ascii="Arial" w:eastAsia="Times New Roman" w:hAnsi="Arial" w:cs="Arial"/>
                <w:bCs/>
                <w:sz w:val="24"/>
                <w:szCs w:val="24"/>
                <w:lang w:eastAsia="pl-PL"/>
              </w:rPr>
              <w:t>U</w:t>
            </w:r>
            <w:r w:rsidR="00142EBD" w:rsidRPr="002C3296">
              <w:rPr>
                <w:rFonts w:ascii="Arial" w:eastAsia="Times New Roman" w:hAnsi="Arial" w:cs="Arial"/>
                <w:bCs/>
                <w:sz w:val="24"/>
                <w:szCs w:val="24"/>
                <w:lang w:eastAsia="pl-PL"/>
              </w:rPr>
              <w:t xml:space="preserve">mowy z </w:t>
            </w:r>
            <w:r w:rsidR="002C3296" w:rsidRPr="002C3296">
              <w:rPr>
                <w:rFonts w:ascii="Arial" w:eastAsia="Times New Roman" w:hAnsi="Arial" w:cs="Arial"/>
                <w:bCs/>
                <w:sz w:val="24"/>
                <w:szCs w:val="24"/>
                <w:lang w:eastAsia="pl-PL"/>
              </w:rPr>
              <w:t>podmiotami</w:t>
            </w:r>
            <w:r w:rsidR="00142EBD" w:rsidRPr="002C3296">
              <w:rPr>
                <w:rFonts w:ascii="Arial" w:eastAsia="Times New Roman" w:hAnsi="Arial" w:cs="Arial"/>
                <w:bCs/>
                <w:sz w:val="24"/>
                <w:szCs w:val="24"/>
                <w:lang w:eastAsia="pl-PL"/>
              </w:rPr>
              <w:t xml:space="preserve"> administracji publicznej lub służb publicznych</w:t>
            </w:r>
            <w:r w:rsidR="009E5E80" w:rsidRPr="009E5E80">
              <w:rPr>
                <w:rFonts w:ascii="Arial" w:eastAsia="Times New Roman" w:hAnsi="Arial" w:cs="Arial"/>
                <w:bCs/>
                <w:sz w:val="24"/>
                <w:szCs w:val="24"/>
                <w:lang w:eastAsia="pl-PL"/>
              </w:rPr>
              <w:t xml:space="preserve"> na szczeblu krajowym, regionalnym lub lokalnym</w:t>
            </w:r>
            <w:r>
              <w:rPr>
                <w:rFonts w:ascii="Arial" w:eastAsia="Times New Roman" w:hAnsi="Arial" w:cs="Arial"/>
                <w:bCs/>
                <w:sz w:val="24"/>
                <w:szCs w:val="24"/>
                <w:lang w:eastAsia="pl-PL"/>
              </w:rPr>
              <w:t>.</w:t>
            </w:r>
          </w:p>
          <w:p w14:paraId="5ACB68B8" w14:textId="28805FC1" w:rsidR="00513748" w:rsidRPr="002C3296" w:rsidRDefault="00513748" w:rsidP="002C3296">
            <w:pPr>
              <w:widowControl/>
              <w:tabs>
                <w:tab w:val="left" w:pos="3878"/>
              </w:tabs>
              <w:autoSpaceDE/>
              <w:autoSpaceDN/>
              <w:spacing w:before="100" w:after="200"/>
              <w:contextualSpacing/>
              <w:rPr>
                <w:rFonts w:ascii="Arial" w:eastAsia="Times New Roman" w:hAnsi="Arial" w:cs="Arial"/>
                <w:bCs/>
                <w:sz w:val="24"/>
                <w:szCs w:val="24"/>
                <w:lang w:eastAsia="pl-PL"/>
              </w:rPr>
            </w:pPr>
          </w:p>
        </w:tc>
      </w:tr>
      <w:tr w:rsidR="00513748" w:rsidRPr="00CC235D" w14:paraId="4929E721" w14:textId="77777777" w:rsidTr="00C31BDF">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0672D" w14:textId="4BB45D2B" w:rsidR="00513748" w:rsidRPr="00CC235D" w:rsidRDefault="00513748" w:rsidP="002142F7">
            <w:pPr>
              <w:tabs>
                <w:tab w:val="left" w:pos="3878"/>
              </w:tabs>
              <w:spacing w:before="100"/>
              <w:rPr>
                <w:rFonts w:ascii="Arial" w:eastAsia="Times New Roman" w:hAnsi="Arial" w:cs="Arial"/>
                <w:bCs/>
                <w:sz w:val="24"/>
                <w:szCs w:val="24"/>
                <w:lang w:eastAsia="pl-PL"/>
              </w:rPr>
            </w:pPr>
            <w:r>
              <w:rPr>
                <w:rFonts w:ascii="Arial" w:eastAsia="Times New Roman" w:hAnsi="Arial" w:cs="Arial"/>
                <w:bCs/>
                <w:sz w:val="24"/>
                <w:szCs w:val="24"/>
                <w:lang w:eastAsia="pl-PL"/>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02F9E6" w14:textId="235F7C18" w:rsidR="00513748" w:rsidRPr="00CC235D" w:rsidRDefault="00513748" w:rsidP="00513748">
            <w:pPr>
              <w:tabs>
                <w:tab w:val="left" w:pos="3878"/>
              </w:tabs>
              <w:spacing w:before="100"/>
              <w:rPr>
                <w:rFonts w:ascii="Arial" w:eastAsia="Times New Roman" w:hAnsi="Arial" w:cs="Arial"/>
                <w:bCs/>
                <w:sz w:val="24"/>
                <w:szCs w:val="24"/>
                <w:lang w:eastAsia="pl-PL"/>
              </w:rPr>
            </w:pPr>
            <w:r w:rsidRPr="00513748">
              <w:rPr>
                <w:rFonts w:ascii="Arial" w:eastAsia="Times New Roman" w:hAnsi="Arial" w:cs="Arial"/>
                <w:bCs/>
                <w:sz w:val="24"/>
                <w:szCs w:val="24"/>
                <w:lang w:eastAsia="pl-PL"/>
              </w:rPr>
              <w:t>EECO19 Liczba objętych wsparciem mikro-, małych i średnich przedsiębiorstw (w tym spółdzielni i przedsiębiorstw społecznych) (przedsiębiorstwa)</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253736E" w14:textId="77777777" w:rsidR="00513748" w:rsidRPr="00513748" w:rsidRDefault="00513748" w:rsidP="00513748">
            <w:pPr>
              <w:pStyle w:val="Akapitzlist"/>
              <w:spacing w:after="120" w:line="259" w:lineRule="auto"/>
              <w:rPr>
                <w:rFonts w:ascii="Arial" w:hAnsi="Arial" w:cs="Arial"/>
                <w:sz w:val="24"/>
                <w:szCs w:val="24"/>
              </w:rPr>
            </w:pPr>
            <w:r w:rsidRPr="00513748">
              <w:rPr>
                <w:rFonts w:ascii="Arial" w:hAnsi="Arial" w:cs="Arial"/>
                <w:sz w:val="24"/>
                <w:szCs w:val="24"/>
              </w:rPr>
              <w:t>Za przedsiębiorstwo uważa się podmiot prowadzący działalność gospodarczą bez względu na jego formę prawną, w tym spółdzielnie i przedsiębiorstwa społeczne.</w:t>
            </w:r>
          </w:p>
          <w:p w14:paraId="66802591" w14:textId="77777777" w:rsidR="00513748" w:rsidRPr="00513748" w:rsidRDefault="00513748" w:rsidP="00513748">
            <w:pPr>
              <w:pStyle w:val="Akapitzlist"/>
              <w:spacing w:after="120" w:line="259" w:lineRule="auto"/>
              <w:rPr>
                <w:rFonts w:ascii="Arial" w:hAnsi="Arial" w:cs="Arial"/>
                <w:sz w:val="24"/>
                <w:szCs w:val="24"/>
              </w:rPr>
            </w:pPr>
            <w:r w:rsidRPr="00513748">
              <w:rPr>
                <w:rFonts w:ascii="Arial" w:hAnsi="Arial" w:cs="Arial"/>
                <w:sz w:val="24"/>
                <w:szCs w:val="24"/>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5D2E0703" w14:textId="77777777" w:rsidR="00513748" w:rsidRPr="00513748" w:rsidRDefault="00513748" w:rsidP="00513748">
            <w:pPr>
              <w:spacing w:after="120"/>
              <w:jc w:val="both"/>
              <w:rPr>
                <w:rFonts w:ascii="Arial" w:eastAsia="Times New Roman" w:hAnsi="Arial" w:cs="Arial"/>
                <w:sz w:val="24"/>
                <w:szCs w:val="24"/>
                <w:lang w:eastAsia="pl-PL"/>
              </w:rPr>
            </w:pPr>
            <w:r w:rsidRPr="00513748">
              <w:rPr>
                <w:rFonts w:ascii="Arial" w:eastAsia="Times New Roman" w:hAnsi="Arial" w:cs="Arial"/>
                <w:sz w:val="24"/>
                <w:szCs w:val="24"/>
                <w:lang w:eastAsia="pl-PL"/>
              </w:rPr>
              <w:t>Definicje na podstawie: Zalecenie Komisji z dnia 6 maja 2003 r. dotyczące definicji mikroprzedsiębiorstw oraz małych i średnich przedsiębiorstw (2003/361/WE).</w:t>
            </w:r>
          </w:p>
          <w:p w14:paraId="49CFE80A" w14:textId="77777777" w:rsidR="00513748" w:rsidRPr="00513748" w:rsidRDefault="00513748" w:rsidP="00513748">
            <w:pPr>
              <w:spacing w:after="120"/>
              <w:jc w:val="both"/>
              <w:rPr>
                <w:rFonts w:ascii="Arial" w:eastAsia="Times New Roman" w:hAnsi="Arial" w:cs="Arial"/>
                <w:sz w:val="24"/>
                <w:szCs w:val="24"/>
                <w:lang w:eastAsia="pl-PL"/>
              </w:rPr>
            </w:pPr>
            <w:r w:rsidRPr="00513748">
              <w:rPr>
                <w:rFonts w:ascii="Arial" w:eastAsia="Times New Roman" w:hAnsi="Arial" w:cs="Arial"/>
                <w:sz w:val="24"/>
                <w:szCs w:val="24"/>
                <w:lang w:eastAsia="pl-PL"/>
              </w:rPr>
              <w:t>Dodatkowe informacje:</w:t>
            </w:r>
          </w:p>
          <w:p w14:paraId="48059B54" w14:textId="77777777" w:rsidR="00513748" w:rsidRPr="00513748" w:rsidRDefault="00513748" w:rsidP="00513748">
            <w:pPr>
              <w:spacing w:after="120"/>
              <w:rPr>
                <w:rFonts w:ascii="Arial" w:hAnsi="Arial" w:cs="Arial"/>
                <w:sz w:val="24"/>
                <w:szCs w:val="24"/>
              </w:rPr>
            </w:pPr>
            <w:r w:rsidRPr="00513748">
              <w:rPr>
                <w:rFonts w:ascii="Arial" w:hAnsi="Arial" w:cs="Arial"/>
                <w:sz w:val="24"/>
                <w:szCs w:val="24"/>
              </w:rPr>
              <w:t>W kategorii mikroprzedsiębiorstwa należy uwzględnić również osoby prowadzące działalność na własny rachunek.</w:t>
            </w:r>
          </w:p>
          <w:p w14:paraId="1539AA26" w14:textId="7B3D9761" w:rsidR="00513748" w:rsidRPr="00CC235D" w:rsidRDefault="00513748" w:rsidP="00513748">
            <w:pPr>
              <w:spacing w:after="120"/>
              <w:rPr>
                <w:rFonts w:ascii="Arial" w:eastAsia="Times New Roman" w:hAnsi="Arial" w:cs="Arial"/>
                <w:bCs/>
                <w:sz w:val="24"/>
                <w:szCs w:val="24"/>
                <w:lang w:eastAsia="pl-PL"/>
              </w:rPr>
            </w:pPr>
            <w:r w:rsidRPr="00513748">
              <w:rPr>
                <w:rFonts w:ascii="Arial" w:hAnsi="Arial" w:cs="Arial"/>
                <w:sz w:val="24"/>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w:t>
            </w:r>
            <w:r>
              <w:rPr>
                <w:rFonts w:ascii="Arial" w:hAnsi="Arial" w:cs="Arial"/>
                <w:sz w:val="24"/>
                <w:szCs w:val="24"/>
              </w:rPr>
              <w:t xml:space="preserve"> odnotowywane w tym wskaźniku.</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041331E" w14:textId="0265AFBC" w:rsidR="00513748" w:rsidRPr="00CC235D" w:rsidRDefault="00513748" w:rsidP="002142F7">
            <w:pPr>
              <w:tabs>
                <w:tab w:val="left" w:pos="3878"/>
              </w:tabs>
              <w:spacing w:before="100"/>
              <w:rPr>
                <w:rFonts w:ascii="Arial" w:eastAsia="Times New Roman" w:hAnsi="Arial" w:cs="Arial"/>
                <w:bCs/>
                <w:sz w:val="24"/>
                <w:szCs w:val="24"/>
                <w:lang w:eastAsia="pl-PL"/>
              </w:rPr>
            </w:pPr>
            <w:r w:rsidRPr="00CC235D">
              <w:rPr>
                <w:rFonts w:ascii="Arial" w:eastAsia="Times New Roman" w:hAnsi="Arial" w:cs="Arial"/>
                <w:bCs/>
                <w:sz w:val="24"/>
                <w:szCs w:val="24"/>
                <w:lang w:eastAsia="pl-PL"/>
              </w:rPr>
              <w:t>Wskaźnik mierzony w momencie rozpoczęcia udziału podmiotu w projekcie</w:t>
            </w:r>
            <w:r>
              <w:rPr>
                <w:rFonts w:ascii="Arial" w:eastAsia="Times New Roman" w:hAnsi="Arial" w:cs="Arial"/>
                <w:bCs/>
                <w:sz w:val="24"/>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052F265" w14:textId="5E903A11" w:rsidR="00513748" w:rsidRDefault="00513748" w:rsidP="002C3296">
            <w:pPr>
              <w:widowControl/>
              <w:tabs>
                <w:tab w:val="left" w:pos="3878"/>
              </w:tabs>
              <w:autoSpaceDE/>
              <w:autoSpaceDN/>
              <w:spacing w:before="100" w:after="200"/>
              <w:contextualSpacing/>
              <w:rPr>
                <w:rFonts w:ascii="Arial" w:eastAsia="Times New Roman" w:hAnsi="Arial" w:cs="Arial"/>
                <w:bCs/>
                <w:sz w:val="24"/>
                <w:szCs w:val="24"/>
                <w:lang w:eastAsia="pl-PL"/>
              </w:rPr>
            </w:pPr>
            <w:r>
              <w:rPr>
                <w:rFonts w:ascii="Arial" w:eastAsia="Times New Roman" w:hAnsi="Arial" w:cs="Arial"/>
                <w:bCs/>
                <w:sz w:val="24"/>
                <w:szCs w:val="24"/>
                <w:lang w:eastAsia="pl-PL"/>
              </w:rPr>
              <w:t>Umow</w:t>
            </w:r>
            <w:r w:rsidR="00CF39BE">
              <w:rPr>
                <w:rFonts w:ascii="Arial" w:eastAsia="Times New Roman" w:hAnsi="Arial" w:cs="Arial"/>
                <w:bCs/>
                <w:sz w:val="24"/>
                <w:szCs w:val="24"/>
                <w:lang w:eastAsia="pl-PL"/>
              </w:rPr>
              <w:t>a o dofinansowanie</w:t>
            </w:r>
          </w:p>
        </w:tc>
      </w:tr>
    </w:tbl>
    <w:p w14:paraId="0AAABD97" w14:textId="77777777" w:rsidR="00142EBD" w:rsidRPr="00CC235D" w:rsidRDefault="00142EBD" w:rsidP="00C66872">
      <w:pPr>
        <w:rPr>
          <w:rFonts w:ascii="Arial" w:hAnsi="Arial" w:cs="Arial"/>
          <w:sz w:val="24"/>
          <w:szCs w:val="24"/>
        </w:rPr>
      </w:pPr>
    </w:p>
    <w:sectPr w:rsidR="00142EBD" w:rsidRPr="00CC235D">
      <w:footerReference w:type="default" r:id="rId7"/>
      <w:pgSz w:w="16840" w:h="11910" w:orient="landscape"/>
      <w:pgMar w:top="1100" w:right="1040" w:bottom="1120" w:left="1300" w:header="0" w:footer="9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F0CD4" w14:textId="77777777" w:rsidR="00AA783A" w:rsidRDefault="00AA783A">
      <w:r>
        <w:separator/>
      </w:r>
    </w:p>
  </w:endnote>
  <w:endnote w:type="continuationSeparator" w:id="0">
    <w:p w14:paraId="309E9DC5" w14:textId="77777777" w:rsidR="00AA783A" w:rsidRDefault="00AA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CA8AC" w14:textId="77777777" w:rsidR="008C2669" w:rsidRDefault="00225268">
    <w:pPr>
      <w:pStyle w:val="Tekstpodstawowy"/>
      <w:spacing w:line="14" w:lineRule="auto"/>
      <w:rPr>
        <w:b w:val="0"/>
        <w:sz w:val="20"/>
      </w:rPr>
    </w:pPr>
    <w:r>
      <w:rPr>
        <w:noProof/>
        <w:lang w:eastAsia="pl-PL"/>
      </w:rPr>
      <mc:AlternateContent>
        <mc:Choice Requires="wps">
          <w:drawing>
            <wp:anchor distT="0" distB="0" distL="114300" distR="114300" simplePos="0" relativeHeight="251657728" behindDoc="1" locked="0" layoutInCell="1" allowOverlap="1" wp14:anchorId="62EE56B9" wp14:editId="6C81E666">
              <wp:simplePos x="0" y="0"/>
              <wp:positionH relativeFrom="page">
                <wp:posOffset>9542780</wp:posOffset>
              </wp:positionH>
              <wp:positionV relativeFrom="page">
                <wp:posOffset>6785610</wp:posOffset>
              </wp:positionV>
              <wp:extent cx="2895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3DA7E" w14:textId="259DCA6E" w:rsidR="008C2669" w:rsidRDefault="00F74FD8">
                          <w:pPr>
                            <w:spacing w:line="245" w:lineRule="exact"/>
                            <w:ind w:left="60"/>
                            <w:rPr>
                              <w:rFonts w:ascii="Calibri"/>
                            </w:rPr>
                          </w:pPr>
                          <w:r>
                            <w:fldChar w:fldCharType="begin"/>
                          </w:r>
                          <w:r>
                            <w:rPr>
                              <w:rFonts w:ascii="Calibri"/>
                            </w:rPr>
                            <w:instrText xml:space="preserve"> PAGE </w:instrText>
                          </w:r>
                          <w:r>
                            <w:fldChar w:fldCharType="separate"/>
                          </w:r>
                          <w:r w:rsidR="00C007AF">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E56B9" id="_x0000_t202" coordsize="21600,21600" o:spt="202" path="m,l,21600r21600,l21600,xe">
              <v:stroke joinstyle="miter"/>
              <v:path gradientshapeok="t" o:connecttype="rect"/>
            </v:shapetype>
            <v:shape id="Text Box 1" o:spid="_x0000_s1026" type="#_x0000_t202" style="position:absolute;margin-left:751.4pt;margin-top:534.3pt;width:22.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4V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gySNYrip4MqPo8VlZLi5JJsfD1Lpd1T0yBg5&#10;ltB4C072d0pPrrOLicVFybrONr/jzw4AczqB0PDU3BkStpc/Ui9dJ+skdMIgXjuhVxTOTbkKnbj0&#10;F1FxWaxWhf/TxPXDrGV1TbkJM+vKD/+sb0eFT4o4KUuJjtUGzlBScrtZdRLtCei6tN+xIGdu7nMa&#10;tl6Qy4uU/CD0boPUKeNk4YRlGDnpwkscz09v09gL07Aon6d0xzj995TQmOM0CqJJS7/NzbPf69xI&#10;1jMNk6NjfY6TkxPJjALXvLat1YR1k31WCkP/qRTQ7rnRVq9GopNY9WFzABQj4o2oH0G5UoCyQIQw&#10;7sBohfyO0QijI8fq245IilH3noP6zZyZDTkbm9kgvIKnOdYYTeZKT/NoN0i2bQF5+r+4uIE/pGFW&#10;vU8sgLrZwDiwSRxHl5k353vr9TRgl78AAAD//wMAUEsDBBQABgAIAAAAIQA+TOmf4gAAAA8BAAAP&#10;AAAAZHJzL2Rvd25yZXYueG1sTI/BTsMwEETvSPyDtZW4UbtVGtIQp6oQnJAQaThwdBI3sRqvQ+y2&#10;4e/ZnOhtZ3c0+ybbTbZnFz1641DCaimAaaxdY7CV8FW+PSbAfFDYqN6hlvCrPezy+7tMpY27YqEv&#10;h9AyCkGfKgldCEPKua87bZVfukEj3Y5utCqQHFvejOpK4bbnayFibpVB+tCpQb90uj4dzlbC/huL&#10;V/PzUX0Wx8KU5Vbge3yS8mEx7Z+BBT2FfzPM+IQOOTFV7oyNZz3pjVgTe6BJxEkMbPZsoiQCVs27&#10;bfQEPM/4bY/8DwAA//8DAFBLAQItABQABgAIAAAAIQC2gziS/gAAAOEBAAATAAAAAAAAAAAAAAAA&#10;AAAAAABbQ29udGVudF9UeXBlc10ueG1sUEsBAi0AFAAGAAgAAAAhADj9If/WAAAAlAEAAAsAAAAA&#10;AAAAAAAAAAAALwEAAF9yZWxzLy5yZWxzUEsBAi0AFAAGAAgAAAAhAM8SvhWqAgAAqAUAAA4AAAAA&#10;AAAAAAAAAAAALgIAAGRycy9lMm9Eb2MueG1sUEsBAi0AFAAGAAgAAAAhAD5M6Z/iAAAADwEAAA8A&#10;AAAAAAAAAAAAAAAABAUAAGRycy9kb3ducmV2LnhtbFBLBQYAAAAABAAEAPMAAAATBgAAAAA=&#10;" filled="f" stroked="f">
              <v:textbox inset="0,0,0,0">
                <w:txbxContent>
                  <w:p w14:paraId="68E3DA7E" w14:textId="259DCA6E" w:rsidR="008C2669" w:rsidRDefault="00F74FD8">
                    <w:pPr>
                      <w:spacing w:line="245" w:lineRule="exact"/>
                      <w:ind w:left="60"/>
                      <w:rPr>
                        <w:rFonts w:ascii="Calibri"/>
                      </w:rPr>
                    </w:pPr>
                    <w:r>
                      <w:fldChar w:fldCharType="begin"/>
                    </w:r>
                    <w:r>
                      <w:rPr>
                        <w:rFonts w:ascii="Calibri"/>
                      </w:rPr>
                      <w:instrText xml:space="preserve"> PAGE </w:instrText>
                    </w:r>
                    <w:r>
                      <w:fldChar w:fldCharType="separate"/>
                    </w:r>
                    <w:r w:rsidR="00C007AF">
                      <w:rPr>
                        <w:rFonts w:ascii="Calibri"/>
                        <w:noProof/>
                      </w:rPr>
                      <w:t>13</w:t>
                    </w:r>
                    <w:r>
                      <w:fldChar w:fldCharType="end"/>
                    </w:r>
                  </w:p>
                </w:txbxContent>
              </v:textbox>
              <w10:wrap anchorx="page" anchory="page"/>
            </v:shape>
          </w:pict>
        </mc:Fallback>
      </mc:AlternateContent>
    </w:r>
    <w:r w:rsidR="001C1270">
      <w:rPr>
        <w:b w:val="0"/>
        <w:noProof/>
        <w:sz w:val="20"/>
        <w:lang w:eastAsia="pl-PL"/>
      </w:rPr>
      <w:drawing>
        <wp:inline distT="0" distB="0" distL="0" distR="0" wp14:anchorId="4E70C62C" wp14:editId="576F6E35">
          <wp:extent cx="5761355"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C9B17" w14:textId="77777777" w:rsidR="00AA783A" w:rsidRDefault="00AA783A">
      <w:r>
        <w:separator/>
      </w:r>
    </w:p>
  </w:footnote>
  <w:footnote w:type="continuationSeparator" w:id="0">
    <w:p w14:paraId="6580A2F9" w14:textId="77777777" w:rsidR="00AA783A" w:rsidRDefault="00AA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6C7"/>
    <w:multiLevelType w:val="hybridMultilevel"/>
    <w:tmpl w:val="FE409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2" w15:restartNumberingAfterBreak="0">
    <w:nsid w:val="32687A0E"/>
    <w:multiLevelType w:val="hybridMultilevel"/>
    <w:tmpl w:val="5AC22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6430B67"/>
    <w:multiLevelType w:val="hybridMultilevel"/>
    <w:tmpl w:val="3CBC4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F667DE2"/>
    <w:multiLevelType w:val="hybridMultilevel"/>
    <w:tmpl w:val="26AE6B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69"/>
    <w:rsid w:val="00014D39"/>
    <w:rsid w:val="00142EBD"/>
    <w:rsid w:val="001524E5"/>
    <w:rsid w:val="001571E4"/>
    <w:rsid w:val="001C1270"/>
    <w:rsid w:val="00225268"/>
    <w:rsid w:val="00284992"/>
    <w:rsid w:val="002B37B2"/>
    <w:rsid w:val="002C3296"/>
    <w:rsid w:val="003511A6"/>
    <w:rsid w:val="003533E7"/>
    <w:rsid w:val="00363D3E"/>
    <w:rsid w:val="00371FB9"/>
    <w:rsid w:val="003B2B92"/>
    <w:rsid w:val="003C5933"/>
    <w:rsid w:val="00440C61"/>
    <w:rsid w:val="004C2E98"/>
    <w:rsid w:val="004E5499"/>
    <w:rsid w:val="00510188"/>
    <w:rsid w:val="00513748"/>
    <w:rsid w:val="00572AC4"/>
    <w:rsid w:val="00592115"/>
    <w:rsid w:val="006941CF"/>
    <w:rsid w:val="006B01CA"/>
    <w:rsid w:val="006C3F4F"/>
    <w:rsid w:val="006F32B5"/>
    <w:rsid w:val="00747F0F"/>
    <w:rsid w:val="007B1DB8"/>
    <w:rsid w:val="007B7814"/>
    <w:rsid w:val="007C5CAA"/>
    <w:rsid w:val="00864FD4"/>
    <w:rsid w:val="008C079B"/>
    <w:rsid w:val="008C2669"/>
    <w:rsid w:val="008F6A0D"/>
    <w:rsid w:val="00940C10"/>
    <w:rsid w:val="009E5E80"/>
    <w:rsid w:val="009F0E7D"/>
    <w:rsid w:val="009F2480"/>
    <w:rsid w:val="00A20AAE"/>
    <w:rsid w:val="00A20C76"/>
    <w:rsid w:val="00A260F0"/>
    <w:rsid w:val="00A838C4"/>
    <w:rsid w:val="00AA783A"/>
    <w:rsid w:val="00AC7215"/>
    <w:rsid w:val="00AF0492"/>
    <w:rsid w:val="00B37294"/>
    <w:rsid w:val="00B533DC"/>
    <w:rsid w:val="00BE19D8"/>
    <w:rsid w:val="00C007AF"/>
    <w:rsid w:val="00C31BDF"/>
    <w:rsid w:val="00C31BF4"/>
    <w:rsid w:val="00C3559E"/>
    <w:rsid w:val="00C43CB8"/>
    <w:rsid w:val="00C66872"/>
    <w:rsid w:val="00CA1317"/>
    <w:rsid w:val="00CC235D"/>
    <w:rsid w:val="00CC7A65"/>
    <w:rsid w:val="00CD5800"/>
    <w:rsid w:val="00CE3D65"/>
    <w:rsid w:val="00CF39BE"/>
    <w:rsid w:val="00D0763F"/>
    <w:rsid w:val="00D35EA2"/>
    <w:rsid w:val="00D83564"/>
    <w:rsid w:val="00DC08FC"/>
    <w:rsid w:val="00E5164C"/>
    <w:rsid w:val="00E62783"/>
    <w:rsid w:val="00E727B2"/>
    <w:rsid w:val="00EA477D"/>
    <w:rsid w:val="00ED3BCD"/>
    <w:rsid w:val="00F4564F"/>
    <w:rsid w:val="00F74FD8"/>
    <w:rsid w:val="00F77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FB48FB"/>
  <w15:docId w15:val="{7DE78A8A-E9C6-4B3A-BF77-07C407E5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Arial" w:eastAsia="Arial" w:hAnsi="Arial" w:cs="Arial"/>
      <w:b/>
      <w:bCs/>
      <w:sz w:val="24"/>
      <w:szCs w:val="24"/>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style>
  <w:style w:type="paragraph" w:customStyle="1" w:styleId="TableParagraph">
    <w:name w:val="Table Paragraph"/>
    <w:basedOn w:val="Normalny"/>
    <w:uiPriority w:val="1"/>
    <w:qFormat/>
  </w:style>
  <w:style w:type="paragraph" w:styleId="Tekstkomentarza">
    <w:name w:val="annotation text"/>
    <w:aliases w:val=" Znak"/>
    <w:basedOn w:val="Normalny"/>
    <w:link w:val="TekstkomentarzaZnak"/>
    <w:uiPriority w:val="99"/>
    <w:unhideWhenUsed/>
    <w:rsid w:val="00C66872"/>
    <w:pPr>
      <w:widowControl/>
      <w:autoSpaceDE/>
      <w:autoSpaceDN/>
      <w:spacing w:after="200"/>
    </w:pPr>
    <w:rPr>
      <w:rFonts w:asciiTheme="minorHAnsi" w:eastAsiaTheme="minorHAnsi" w:hAnsiTheme="minorHAnsi" w:cstheme="minorBidi"/>
      <w:sz w:val="20"/>
      <w:szCs w:val="20"/>
    </w:rPr>
  </w:style>
  <w:style w:type="character" w:customStyle="1" w:styleId="TekstkomentarzaZnak">
    <w:name w:val="Tekst komentarza Znak"/>
    <w:aliases w:val=" Znak Znak"/>
    <w:basedOn w:val="Domylnaczcionkaakapitu"/>
    <w:link w:val="Tekstkomentarza"/>
    <w:uiPriority w:val="99"/>
    <w:rsid w:val="00C66872"/>
    <w:rPr>
      <w:sz w:val="20"/>
      <w:szCs w:val="20"/>
      <w:lang w:val="pl-PL"/>
    </w:rPr>
  </w:style>
  <w:style w:type="character" w:styleId="Odwoaniedokomentarza">
    <w:name w:val="annotation reference"/>
    <w:basedOn w:val="Domylnaczcionkaakapitu"/>
    <w:uiPriority w:val="99"/>
    <w:qFormat/>
    <w:rsid w:val="00C66872"/>
    <w:rPr>
      <w:rFonts w:cs="Times New Roman"/>
      <w:sz w:val="16"/>
    </w:rPr>
  </w:style>
  <w:style w:type="paragraph" w:styleId="Tekstdymka">
    <w:name w:val="Balloon Text"/>
    <w:basedOn w:val="Normalny"/>
    <w:link w:val="TekstdymkaZnak"/>
    <w:uiPriority w:val="99"/>
    <w:semiHidden/>
    <w:unhideWhenUsed/>
    <w:rsid w:val="00C668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872"/>
    <w:rPr>
      <w:rFonts w:ascii="Segoe UI" w:eastAsia="Arial MT" w:hAnsi="Segoe UI" w:cs="Segoe UI"/>
      <w:sz w:val="18"/>
      <w:szCs w:val="18"/>
      <w:lang w:val="pl-PL"/>
    </w:rPr>
  </w:style>
  <w:style w:type="paragraph" w:styleId="Nagwek">
    <w:name w:val="header"/>
    <w:basedOn w:val="Normalny"/>
    <w:link w:val="NagwekZnak"/>
    <w:uiPriority w:val="99"/>
    <w:unhideWhenUsed/>
    <w:rsid w:val="00C66872"/>
    <w:pPr>
      <w:tabs>
        <w:tab w:val="center" w:pos="4536"/>
        <w:tab w:val="right" w:pos="9072"/>
      </w:tabs>
    </w:pPr>
  </w:style>
  <w:style w:type="character" w:customStyle="1" w:styleId="NagwekZnak">
    <w:name w:val="Nagłówek Znak"/>
    <w:basedOn w:val="Domylnaczcionkaakapitu"/>
    <w:link w:val="Nagwek"/>
    <w:uiPriority w:val="99"/>
    <w:rsid w:val="00C66872"/>
    <w:rPr>
      <w:rFonts w:ascii="Arial MT" w:eastAsia="Arial MT" w:hAnsi="Arial MT" w:cs="Arial MT"/>
      <w:lang w:val="pl-PL"/>
    </w:rPr>
  </w:style>
  <w:style w:type="paragraph" w:styleId="Stopka">
    <w:name w:val="footer"/>
    <w:basedOn w:val="Normalny"/>
    <w:link w:val="StopkaZnak"/>
    <w:uiPriority w:val="99"/>
    <w:unhideWhenUsed/>
    <w:rsid w:val="00C66872"/>
    <w:pPr>
      <w:tabs>
        <w:tab w:val="center" w:pos="4536"/>
        <w:tab w:val="right" w:pos="9072"/>
      </w:tabs>
    </w:pPr>
  </w:style>
  <w:style w:type="character" w:customStyle="1" w:styleId="StopkaZnak">
    <w:name w:val="Stopka Znak"/>
    <w:basedOn w:val="Domylnaczcionkaakapitu"/>
    <w:link w:val="Stopka"/>
    <w:uiPriority w:val="99"/>
    <w:rsid w:val="00C66872"/>
    <w:rPr>
      <w:rFonts w:ascii="Arial MT" w:eastAsia="Arial MT" w:hAnsi="Arial MT" w:cs="Arial MT"/>
      <w:lang w:val="pl-PL"/>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142EBD"/>
    <w:rPr>
      <w:rFonts w:ascii="Arial MT" w:eastAsia="Arial MT" w:hAnsi="Arial MT" w:cs="Arial MT"/>
      <w:lang w:val="pl-PL"/>
    </w:rPr>
  </w:style>
  <w:style w:type="paragraph" w:styleId="Tematkomentarza">
    <w:name w:val="annotation subject"/>
    <w:basedOn w:val="Tekstkomentarza"/>
    <w:next w:val="Tekstkomentarza"/>
    <w:link w:val="TematkomentarzaZnak"/>
    <w:uiPriority w:val="99"/>
    <w:semiHidden/>
    <w:unhideWhenUsed/>
    <w:rsid w:val="00A20C76"/>
    <w:pPr>
      <w:widowControl w:val="0"/>
      <w:autoSpaceDE w:val="0"/>
      <w:autoSpaceDN w:val="0"/>
      <w:spacing w:after="0"/>
    </w:pPr>
    <w:rPr>
      <w:rFonts w:ascii="Arial MT" w:eastAsia="Arial MT" w:hAnsi="Arial MT" w:cs="Arial MT"/>
      <w:b/>
      <w:bCs/>
    </w:rPr>
  </w:style>
  <w:style w:type="character" w:customStyle="1" w:styleId="TematkomentarzaZnak">
    <w:name w:val="Temat komentarza Znak"/>
    <w:basedOn w:val="TekstkomentarzaZnak"/>
    <w:link w:val="Tematkomentarza"/>
    <w:uiPriority w:val="99"/>
    <w:semiHidden/>
    <w:rsid w:val="00A20C76"/>
    <w:rPr>
      <w:rFonts w:ascii="Arial MT" w:eastAsia="Arial MT" w:hAnsi="Arial MT" w:cs="Arial MT"/>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3161</Words>
  <Characters>18971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Gajda</dc:creator>
  <cp:lastModifiedBy>Anna Juśkiewicz</cp:lastModifiedBy>
  <cp:revision>12</cp:revision>
  <cp:lastPrinted>2024-08-26T12:56:00Z</cp:lastPrinted>
  <dcterms:created xsi:type="dcterms:W3CDTF">2024-08-22T14:13:00Z</dcterms:created>
  <dcterms:modified xsi:type="dcterms:W3CDTF">2024-08-26T12:56:00Z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2016</vt:lpwstr>
  </property>
  <property fmtid="{D5CDD505-2E9C-101B-9397-08002B2CF9AE}" pid="4" name="LastSaved">
    <vt:filetime>2023-05-18T00:00:00Z</vt:filetime>
  </property>
</Properties>
</file>